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40" w:after="280"/>
        <w:jc w:val="center"/>
      </w:pPr>
      <w:r>
        <w:rPr>
          <w:rFonts w:ascii="Noto Sans SC" w:hAnsi="Noto Sans SC" w:eastAsia="Noto Sans SC"/>
          <w:b/>
          <w:color w:val="000000"/>
          <w:sz w:val="48"/>
        </w:rPr>
        <w:t>ELDC Stress Test</w:t>
      </w:r>
    </w:p>
    <w:p>
      <w:pPr>
        <w:widowControl/>
        <w:spacing w:after="240"/>
        <w:jc w:val="center"/>
      </w:pPr>
      <w:r>
        <w:rPr>
          <w:rFonts w:ascii="Noto Sans SC" w:hAnsi="Noto Sans SC" w:eastAsia="Noto Sans SC"/>
          <w:b/>
          <w:color w:val="000000"/>
          <w:sz w:val="30"/>
        </w:rPr>
        <w:t>Can a Cayley Graph and Spectral Frame Geometry Inspired System</w:t>
        <w:br/>
        <w:t>Help a Humanoid Carry Water Without Spilling</w:t>
      </w:r>
    </w:p>
    <w:p>
      <w:pPr>
        <w:widowControl/>
        <w:spacing w:after="600"/>
        <w:jc w:val="center"/>
      </w:pPr>
      <w:r>
        <w:rPr>
          <w:rFonts w:ascii="Noto Sans SC" w:hAnsi="Noto Sans SC" w:eastAsia="Noto Sans SC"/>
          <w:color w:val="666666"/>
          <w:sz w:val="24"/>
        </w:rPr>
        <w:t>实验 012 002  面向投资者的中文测试报告</w:t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结论先行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本次测试得到的是“部分通过”。在2048个均匀覆盖的压力场景中，完整ELDC把机器人端水任务的联合成功率从28.86%提高到37.40%，并将平均溢水量降低约23.3%。这说明ELDC的结构监测和协调恢复具有实际价值，但目前仍不能保证机器人在最湿滑、最快速或延迟最大的条件下不洒水。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对投资者而言，今天最重要的进展不是“水杯完全不洒”，而是系统已经从单一演示进入可重复、可比较、可失败的压力测试阶段。结果同时告诉我们下一步资金和工程时间应该投入在哪里：缩短总响应时间、降低误报，并把当前二维降阶模型迁移到Isaac Sim和真实机器人。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测试状态</w:t>
            </w:r>
          </w:p>
        </w:tc>
        <w:tc>
          <w:tcPr>
            <w:tcW w:type="dxa" w:w="295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核心数字</w:t>
            </w:r>
          </w:p>
        </w:tc>
        <w:tc>
          <w:tcPr>
            <w:tcW w:type="dxa" w:w="49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商业含义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统计改善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联合成功率提高 8.54 个百分点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ELDC具有可测量的任务收益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水保持能力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平均溢水减少约 23.3%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托盘协调方向值得继续开发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检测速度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中位检测延迟 28 ms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监测层本身足够快，但执行仍需提速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风险边界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严重组合场景仍失败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尚不能承诺全场景零溢水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SC" w:hAnsi="Noto Sans SC" w:eastAsia="Noto Sans SC"/>
          <w:sz w:val="22"/>
        </w:rPr>
        <w:br w:type="page"/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一  为什么要做这个测试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端着一杯接近装满的水走过积水地面，看起来是一个简单演示，实际上同时考验机器人三项能力：能否及时发现脚底失去抓地力，能否重新协调身体避免摔倒，以及能否让手臂和托盘减少水面的剧烈晃动。只完成其中一项都不算任务成功。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传统控制器通常优先保证机器人继续跟踪原来的走路动作。当摩擦突然下降时，它可能继续施加过大的水平力。只增加报警也不够，因为突然减速会破坏身体动量和支撑关系。本实验因此比较三种方案：传统控制器、只有报警的控制器，以及能够把报警连接到全身恢复和托盘控制的完整ELDC。</w:t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二  ELDC在这里做什么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ELDC不是新的机器人“大脑”，也不是电机控制器。它是一层位于传感器和已有控制器之间的安全检查层，持续判断机器人身体是否仍然物理自洽、接触是否仍然可靠、左右结构是否仍然按照任务要求协调。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笛卡尔接触残差把左右脚的受力和滑移放在同一个二维坐标中比较。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Cayley图思想把“左右互换”视为合法结构关系，并将信号分成共同变化和左右不对称变化。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谱框架使用快、慢两个因果时间尺度，区分短时滑移冲击和缓慢背景变化。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风险超过冻结阈值后，完整ELDC启动支撑转移、身体恢复和托盘补偿。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b/>
          <w:sz w:val="22"/>
        </w:rPr>
        <w:t>重要的是，</w:t>
      </w:r>
      <w:r>
        <w:rPr>
          <w:rFonts w:ascii="Noto Sans SC" w:hAnsi="Noto Sans SC" w:eastAsia="Noto Sans SC"/>
          <w:sz w:val="22"/>
        </w:rPr>
        <w:t>代码没有预先写入“ELDC一定抵消88%的加速度”。结果由摩擦限制、噪声、检测延迟、执行器饱和、身体动力学和液体晃动共同产生，因此允许ELDC失败。</w:t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三  实验如何保证公平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实验采用随机化Sobol准蒙特卡洛设计。与普通随机抽样相比，它更均匀地覆盖摩擦、速度、步态相位、积水持续时间、传感器噪声、液体阻尼、响应延迟和手臂能力八个维度，减少“某个控制器碰巧遇到更简单场景”的抽样偏差。</w:t>
      </w:r>
    </w:p>
    <w:p>
      <w:pPr>
        <w:widowControl/>
      </w:pPr>
      <w:r>
        <w:rPr>
          <w:rFonts w:ascii="Noto Sans SC" w:hAnsi="Noto Sans SC" w:eastAsia="Noto Sans SC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设置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杯中水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90%装水，水面距杯口1 cm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控制频率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250 Hz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随机化设计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8个独立scrambled Sobol序列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最终样本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每个序列256个场景，共2048个场景 控制器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公平比较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三种控制器使用相同场景与相同噪声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停止规则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溢水差与联合成功率差同时达到预设置信精度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9"/>
              </w:rPr>
              <w:t>成功定义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9"/>
              </w:rPr>
              <w:t>溢水不超过0.5 mL，并且不触发跌倒代理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四  主要结果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控制器</w:t>
            </w:r>
          </w:p>
        </w:tc>
        <w:tc>
          <w:tcPr>
            <w:tcW w:type="dxa" w:w="15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平均溢水</w:t>
            </w:r>
          </w:p>
        </w:tc>
        <w:tc>
          <w:tcPr>
            <w:tcW w:type="dxa" w:w="15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P95溢水</w:t>
            </w:r>
          </w:p>
        </w:tc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工程零溢水率</w:t>
            </w:r>
          </w:p>
        </w:tc>
        <w:tc>
          <w:tcPr>
            <w:tcW w:type="dxa" w:w="15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跌倒代理率</w:t>
            </w:r>
          </w:p>
        </w:tc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联合成功率</w:t>
            </w:r>
          </w:p>
        </w:tc>
      </w:tr>
      <w:tr>
        <w:tc>
          <w:tcPr>
            <w:tcW w:type="dxa" w:w="1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7"/>
              </w:rPr>
              <w:t>Baseline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3.819 mL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13.348 mL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28.91%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0.05%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28.86%</w:t>
            </w:r>
          </w:p>
        </w:tc>
      </w:tr>
      <w:tr>
        <w:tc>
          <w:tcPr>
            <w:tcW w:type="dxa" w:w="1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7"/>
              </w:rPr>
              <w:t>Alarm only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2.934 mL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11.541 mL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37.65%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20.95%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7"/>
              </w:rPr>
              <w:t>23.73%</w:t>
            </w:r>
          </w:p>
        </w:tc>
      </w:tr>
      <w:tr>
        <w:tc>
          <w:tcPr>
            <w:tcW w:type="dxa" w:w="1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/>
                <w:sz w:val="17"/>
              </w:rPr>
              <w:t>Full ELDC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sz w:val="17"/>
              </w:rPr>
              <w:t>2.928 mL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sz w:val="17"/>
              </w:rPr>
              <w:t>11.724 mL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sz w:val="17"/>
              </w:rPr>
              <w:t>37.55%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sz w:val="17"/>
              </w:rPr>
              <w:t>0.15%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sz w:val="17"/>
              </w:rPr>
              <w:t>37.40%</w:t>
            </w:r>
          </w:p>
        </w:tc>
      </w:tr>
    </w:tbl>
    <w:p>
      <w:pPr>
        <w:widowControl/>
        <w:spacing w:after="20"/>
      </w:pPr>
    </w:p>
    <w:p>
      <w:pPr>
        <w:widowControl/>
        <w:spacing w:after="40"/>
        <w:jc w:val="center"/>
      </w:pPr>
      <w:r>
        <w:rPr>
          <w:rFonts w:ascii="Noto Sans SC" w:hAnsi="Noto Sans SC" w:eastAsia="Noto Sans SC"/>
          <w:sz w:val="22"/>
        </w:rPr>
        <w:drawing>
          <wp:inline xmlns:a="http://schemas.openxmlformats.org/drawingml/2006/main" xmlns:pic="http://schemas.openxmlformats.org/drawingml/2006/picture">
            <wp:extent cx="6080760" cy="2375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dc_012_summary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7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60"/>
        <w:jc w:val="center"/>
      </w:pPr>
      <w:r>
        <w:rPr>
          <w:rFonts w:ascii="Noto Sans SC" w:hAnsi="Noto Sans SC" w:eastAsia="Noto Sans SC"/>
          <w:color w:val="666666"/>
          <w:sz w:val="18"/>
        </w:rPr>
        <w:t>图1  三种控制器的联合成功率与平均溢水量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完整ELDC相对Baseline的成对平均溢水改善为0.891 ± 0.044 mL，联合成功率提高8.54 ± 1.31个百分点。两个95%置信区间均未跨越零，因此在本次声明的压力分布中，改善不是明显的抽样偶然。</w:t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五  为什么只有报警反而更危险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Alarm only减少了部分托盘冲击，却把跌倒代理率推高到20.95%，最终联合成功率只有23.73%，低于传统控制器。这说明发现滑移后简单减速，会破坏原有动量和支撑关系。报警必须和支撑转移、DCM恢复以及手臂协调连接起来。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这也是ELDC产品定位的重要证据：系统的价值不只是发出一个警报，而是向现有控制器提供结构化的风险与恢复模式，使机器人知道应该继续、减速、恢复还是停止。</w:t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六  严重场景告诉了我们什么</w:t>
      </w:r>
    </w:p>
    <w:p>
      <w:pPr>
        <w:widowControl/>
        <w:spacing w:after="40"/>
        <w:jc w:val="center"/>
      </w:pPr>
      <w:r>
        <w:rPr>
          <w:rFonts w:ascii="Noto Sans SC" w:hAnsi="Noto Sans SC" w:eastAsia="Noto Sans SC"/>
          <w:sz w:val="22"/>
        </w:rPr>
        <w:drawing>
          <wp:inline xmlns:a="http://schemas.openxmlformats.org/drawingml/2006/main" xmlns:pic="http://schemas.openxmlformats.org/drawingml/2006/picture">
            <wp:extent cx="4617720" cy="4213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5-16515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21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60"/>
        <w:jc w:val="center"/>
      </w:pPr>
      <w:r>
        <w:rPr>
          <w:rFonts w:ascii="Noto Sans SC" w:hAnsi="Noto Sans SC" w:eastAsia="Noto Sans SC"/>
          <w:color w:val="666666"/>
          <w:sz w:val="18"/>
        </w:rPr>
        <w:t>图2  高速 最低摩擦 最大延迟组合场景的匹配时间曲线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在严重组合场景中，三种控制器的足端滑移都接近5 cm。完整ELDC能够避免Alarm only那样持续增长的DCM偏差，但第一波液面峰值达到约17.5 mm，超过10 mm杯口裕度，最终仍溢出约9 mL。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原因主要是时间尺度不匹配。水体固有频率为3.615 Hz，一个周期约277 ms，四分之一周期只有约69 ms。当前中位检测延迟为28 ms，再叠加40至150 ms的执行延迟，许多场景在托盘开始补偿前已经形成第一波水浪。</w:t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七  需要谨慎解释的结果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Full ELDC把联合成功率提高到37.40%，但这不等于能够保证零溢水。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Full ELDC的P95 DCM为13.08 cm，高于Baseline的9.93 cm，说明目前部分水保持收益伴随身体稳定裕度下降。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滑移前场景级报警率为5.96%，略高于理想目标，需要继续降低。</w:t>
      </w:r>
    </w:p>
    <w:p>
      <w:pPr>
        <w:pStyle w:val="ListBullet"/>
        <w:widowControl/>
        <w:spacing w:after="60" w:line="269" w:lineRule="auto"/>
      </w:pPr>
      <w:r>
        <w:rPr>
          <w:rFonts w:ascii="Noto Sans SC" w:hAnsi="Noto Sans SC" w:eastAsia="Noto Sans SC"/>
          <w:sz w:val="21"/>
        </w:rPr>
        <w:t>最大传感器噪声边界场景反而成功，可能是噪声提前触发恢复，而不是噪声真正提高了控制能力。</w:t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八  对投资者意味着什么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今天的结果支持继续推进ELDC，但不支持现在就宣传“机器人在积水上端水绝不会洒”。更准确的商业结论是：ELDC作为安全检查层，已经在均匀覆盖的压力测试中展示出可测量的任务收益，并且暴露了可以明确工程化解决的瓶颈。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它与VLA、MPC或底层伺服并不竞争。VLA决定做什么，MPC规划下一步怎样做，底层控制器驱动电机；ELDC负责在动作执行过程中检查传感器、接触、动力学和结构协调是否仍然可信，并在风险出现时触发合适的恢复策略。</w:t>
      </w:r>
    </w:p>
    <w:p>
      <w:pPr>
        <w:widowControl/>
      </w:pPr>
      <w:r>
        <w:rPr>
          <w:rFonts w:ascii="Noto Sans SC" w:hAnsi="Noto Sans SC" w:eastAsia="Noto Sans SC"/>
          <w:sz w:val="22"/>
        </w:rPr>
        <w:br w:type="page"/>
      </w: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九  下一阶段工程计划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3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6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下一步</w:t>
            </w:r>
          </w:p>
        </w:tc>
        <w:tc>
          <w:tcPr>
            <w:tcW w:type="dxa" w:w="515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验收目标</w:t>
            </w:r>
          </w:p>
        </w:tc>
      </w:tr>
      <w:tr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8"/>
              </w:rPr>
              <w:t>1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缩短检测到托盘动作的总延迟</w:t>
            </w:r>
          </w:p>
        </w:tc>
        <w:tc>
          <w:tcPr>
            <w:tcW w:type="dxa" w:w="51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目标压到约70 ms以内，优先抑制第一波水浪</w:t>
            </w:r>
          </w:p>
        </w:tc>
      </w:tr>
      <w:tr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8"/>
              </w:rPr>
              <w:t>2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分离真报警与提前误报收益</w:t>
            </w:r>
          </w:p>
        </w:tc>
        <w:tc>
          <w:tcPr>
            <w:tcW w:type="dxa" w:w="51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单独报告误报触发后的成功率和无误报成功率</w:t>
            </w:r>
          </w:p>
        </w:tc>
      </w:tr>
      <w:tr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8"/>
              </w:rPr>
              <w:t>3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重新平衡身体与托盘控制权重</w:t>
            </w:r>
          </w:p>
        </w:tc>
        <w:tc>
          <w:tcPr>
            <w:tcW w:type="dxa" w:w="51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降低P95 DCM，不以身体稳定换取少量溢水改善</w:t>
            </w:r>
          </w:p>
        </w:tc>
      </w:tr>
      <w:tr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8"/>
              </w:rPr>
              <w:t>4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迁移到Isaac Sim刚体接触模型</w:t>
            </w:r>
          </w:p>
        </w:tc>
        <w:tc>
          <w:tcPr>
            <w:tcW w:type="dxa" w:w="51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验证真实足底接触 摩擦圆 关节限制与托盘惯性</w:t>
            </w:r>
          </w:p>
        </w:tc>
      </w:tr>
      <w:tr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SC" w:hAnsi="Noto Sans SC" w:eastAsia="Noto Sans SC"/>
                <w:b w:val="0"/>
                <w:sz w:val="18"/>
              </w:rPr>
              <w:t>5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进入真机小水量分级测试</w:t>
            </w:r>
          </w:p>
        </w:tc>
        <w:tc>
          <w:tcPr>
            <w:tcW w:type="dxa" w:w="51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sz w:val="18"/>
              </w:rPr>
              <w:t>从低速 少量水 安全绳条件逐步扩展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240" w:after="100"/>
      </w:pPr>
      <w:r>
        <w:rPr>
          <w:rFonts w:ascii="Noto Sans SC" w:hAnsi="Noto Sans SC" w:eastAsia="Noto Sans SC"/>
          <w:b/>
          <w:color w:val="000000"/>
          <w:sz w:val="30"/>
        </w:rPr>
        <w:t>十  最终判断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实验012 002应被判定为“统计改善成立，严格零溢水保证不成立”。Cayley左右结构残差与谱框架瞬态特征可以为快速滑移监测提供有效信号；当这些信号连接到全身恢复和托盘控制后，系统表现优于传统方案。然而，极端场景仍然失败，证明下一阶段必须优先解决响应延迟、误报和全身控制权重。</w:t>
      </w:r>
    </w:p>
    <w:p>
      <w:pPr>
        <w:widowControl/>
        <w:spacing w:after="140" w:line="283" w:lineRule="auto"/>
      </w:pPr>
      <w:r>
        <w:rPr>
          <w:rFonts w:ascii="Noto Sans SC" w:hAnsi="Noto Sans SC" w:eastAsia="Noto Sans SC"/>
          <w:sz w:val="22"/>
        </w:rPr>
        <w:t>这是一项有价值的研发结果，因为它既给出了正向证据，也给出了明确失败边界。ELDC已经从概念验证进入可量化优化阶段，但距离真实机器人上的产品级承诺仍需要Isaac Sim和硬件实验。</w:t>
      </w:r>
    </w:p>
    <w:sectPr w:rsidR="00FC693F" w:rsidRPr="0006063C" w:rsidSect="00034616">
      <w:footerReference w:type="default" r:id="rId9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color w:val="666666"/>
        <w:sz w:val="17"/>
      </w:rPr>
      <w:t>ELDC Experiment 012 002   2026年9月26日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ELDC Stress Test Experiment 012 002 Investor Report</dc:title>
  <dc:subject>Cayley Graph and Spectral Frame Geometry inspired humanoid water carrying stress test</dc:subject>
  <dc:creator>ELDC Research Project</dc:creator>
  <cp:keywords>ELDC, humanoid robot, Cayley graph, spectral frame, water carrying, stress test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