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004 阶段实验报告</w:t>
      </w:r>
    </w:p>
    <w:p>
      <w:pPr>
        <w:pStyle w:val="Subtitle"/>
      </w:pPr>
      <w:r>
        <w:t>Cayley 结构、多通道信号处理与任务等价表示</w:t>
      </w:r>
    </w:p>
    <w:p>
      <w:pPr>
        <w:pStyle w:val="Caption"/>
      </w:pPr>
      <w:r>
        <w:t>报告日期：2026年9月6日   |   版本：1.0   |   阶段：离线合成数据验证</w:t>
      </w:r>
    </w:p>
    <w:p>
      <w:pPr>
        <w:pStyle w:val="Heading1"/>
      </w:pPr>
      <w:r>
        <w:t>第一部分｜投资者摘要</w:t>
      </w:r>
    </w:p>
    <w:p>
      <w:r>
        <w:t>我们已完成两组可运行的软件实验：004(1) 研究降噪与局部事件识别；004(2) 研究如何忽略不影响任务的共同变化，同时保留重要的相对差异。</w:t>
      </w:r>
    </w:p>
    <w:p>
      <w:pPr>
        <w:pStyle w:val="Heading2"/>
      </w:pPr>
      <w:r>
        <w:t>对人形机器人意味着什么？</w:t>
      </w:r>
    </w:p>
    <w:p>
      <w:r>
        <w:t>目标是帮助机器人识别左右肢体是否不合拍、传感器之间是否出现关系偏差。例如，两个信号一起平移可能不改变配合关系；只有一个信号发生偏移，则需要进一步检查。接入真实机器人后，这些信息可为已有控制系统的减速、停止或调整动作提供依据。</w:t>
      </w:r>
    </w:p>
    <w:p>
      <w:pPr>
        <w:pStyle w:val="Heading2"/>
      </w:pPr>
      <w:r>
        <w:t>已经验证的进展</w:t>
      </w:r>
    </w:p>
    <w:p>
      <w:r>
        <w:t>004(1)：在结构匹配的合成信号中，Cayley＋时间滤波比 GSP＋时间滤波降低约 27% 的平均重构误差。但它也会削弱尖峰，并在结构错配时退化。增加残差检查后，中等幅度尖峰的检出率达到 98.5%，正常记录误报率为 4%；较强对照也达到 97.5%，额外检测优势尚未确立。</w:t>
      </w:r>
    </w:p>
    <w:p>
      <w:r>
        <w:t>004(2)：通过任务等价投影，共同相位平移后的输出保持不变，单侧相位偏移仍然可见。错误地合并过多变化会抹掉关键差异；保留残差则可完整重构原始信号。</w:t>
      </w:r>
    </w:p>
    <w:p>
      <w:pPr>
        <w:pStyle w:val="Heading2"/>
      </w:pPr>
      <w:r>
        <w:t>当前价值与边界</w:t>
      </w:r>
    </w:p>
    <w:p>
      <w:r>
        <w:t>当前价值是已建立可计算、可解释、可重复的原型，并测出了部分适用条件与失效边界。现有结果没有证明实时故障预警、人形机器人防摔或真实传感器容错。下一步先测正常工况变化下的误报，再进入硬件台架。</w:t>
      </w:r>
    </w:p>
    <w:p>
      <w:pPr>
        <w:pStyle w:val="Caption"/>
      </w:pPr>
      <w:r>
        <w:t>阅读说明：本报告依据本次对话中用户提供的运行输出及对应代码整理；未另行重跑实验。统计数字以可见原始输出为准。</w:t>
      </w:r>
    </w:p>
    <w:p>
      <w:pPr>
        <w:pStyle w:val="Heading1"/>
      </w:pPr>
      <w:r>
        <w:t>第二部分｜004(1)：滤波与残差检测</w:t>
      </w:r>
    </w:p>
    <w:p>
      <w:r>
        <w:t>方法：四通道按 C₂×C₂ 组织，分解为共同、左右差异、链路差异和交互模式。正常训练集估计滤波增益，独立测试集比较性能。使用整段 FFT，属于离线分析。</w:t>
      </w:r>
    </w:p>
    <w:p>
      <w:pPr>
        <w:pStyle w:val="Heading2"/>
      </w:pPr>
      <w:r>
        <w:t>重构结果：匹配收益与错配代价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32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3240"/>
            <w:shd w:fill="F2F4F7"/>
          </w:tcPr>
          <w:p>
            <w:pPr>
              <w:pStyle w:val="TableText"/>
            </w:pPr>
            <w:r>
              <w:rPr>
                <w:b/>
              </w:rPr>
              <w:t>方法</w:t>
            </w:r>
          </w:p>
        </w:tc>
        <w:tc>
          <w:tcPr>
            <w:tcW w:type="dxa" w:w="2040"/>
            <w:shd w:fill="F2F4F7"/>
          </w:tcPr>
          <w:p>
            <w:pPr>
              <w:pStyle w:val="TableText"/>
            </w:pPr>
            <w:r>
              <w:rPr>
                <w:b/>
              </w:rPr>
              <w:t>匹配 MSE</w:t>
            </w:r>
          </w:p>
        </w:tc>
        <w:tc>
          <w:tcPr>
            <w:tcW w:type="dxa" w:w="2040"/>
            <w:shd w:fill="F2F4F7"/>
          </w:tcPr>
          <w:p>
            <w:pPr>
              <w:pStyle w:val="TableText"/>
            </w:pPr>
            <w:r>
              <w:rPr>
                <w:b/>
              </w:rPr>
              <w:t>尖峰 MSE</w:t>
            </w:r>
          </w:p>
        </w:tc>
        <w:tc>
          <w:tcPr>
            <w:tcW w:type="dxa" w:w="2040"/>
            <w:shd w:fill="F2F4F7"/>
          </w:tcPr>
          <w:p>
            <w:pPr>
              <w:pStyle w:val="TableText"/>
            </w:pPr>
            <w:r>
              <w:rPr>
                <w:b/>
              </w:rPr>
              <w:t>错配 MSE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pStyle w:val="TableText"/>
            </w:pPr>
            <w:r>
              <w:t>Raw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0.06289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0.06297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0.06211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pStyle w:val="TableText"/>
            </w:pPr>
            <w:r>
              <w:t>Time FFT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0.00319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0.00617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0.00306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pStyle w:val="TableText"/>
            </w:pPr>
            <w:r>
              <w:t>Scalar GSP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0.03123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0.03290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0.03120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pStyle w:val="TableText"/>
            </w:pPr>
            <w:r>
              <w:t>GSP＋Time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0.00118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0.00474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0.00117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pStyle w:val="TableText"/>
            </w:pPr>
            <w:r>
              <w:t>Cayley＋Time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0.00086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0.00449</w:t>
            </w:r>
          </w:p>
        </w:tc>
        <w:tc>
          <w:tcPr>
            <w:tcW w:type="dxa" w:w="2040"/>
          </w:tcPr>
          <w:p>
            <w:pPr>
              <w:pStyle w:val="TableText"/>
            </w:pPr>
            <w:r>
              <w:t>0.03065</w:t>
            </w:r>
          </w:p>
        </w:tc>
      </w:tr>
    </w:tbl>
    <w:p>
      <w:pPr>
        <w:pStyle w:val="Caption"/>
      </w:pPr>
      <w:r>
        <w:t>每个场景 40 次独立测试；表列平均值。对应代码：训练 80 次，采样率 256 Hz，每段 512 点，噪声标准差 0.25。</w:t>
      </w:r>
    </w:p>
    <w:p>
      <w:r>
        <w:t>匹配时约 27% 的收益来自模式专用增益。错配将同一拉普拉斯特征值下的两个模式混合，Cayley MSE 增加约 35.6 倍。尖峰窗口内 Cayley 的局部 MSE 为 0.415246，Raw 为 0.070488，说明整体低误差不能代表局部事件被保留。</w:t>
      </w:r>
    </w:p>
    <w:p>
      <w:pPr>
        <w:pStyle w:val="Heading2"/>
      </w:pPr>
      <w:r>
        <w:t>残差检测：检查被滤掉的部分</w:t>
      </w:r>
    </w:p>
    <w:p>
      <w:r>
        <w:t>残差定义为输入减去滤波输出。独立正常数据标定每段记录 5% 的目标误报率，随后测试随机单通道尖峰；事件匹配容差为 ±31.25 ms。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296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2960"/>
            <w:shd w:fill="F2F4F7"/>
          </w:tcPr>
          <w:p>
            <w:pPr>
              <w:pStyle w:val="TableText"/>
            </w:pPr>
            <w:r>
              <w:rPr>
                <w:b/>
              </w:rPr>
              <w:t>方法</w:t>
            </w:r>
          </w:p>
        </w:tc>
        <w:tc>
          <w:tcPr>
            <w:tcW w:type="dxa" w:w="1600"/>
            <w:shd w:fill="F2F4F7"/>
          </w:tcPr>
          <w:p>
            <w:pPr>
              <w:pStyle w:val="TableText"/>
            </w:pPr>
            <w:r>
              <w:rPr>
                <w:b/>
              </w:rPr>
              <w:t>实测误报率</w:t>
            </w:r>
          </w:p>
        </w:tc>
        <w:tc>
          <w:tcPr>
            <w:tcW w:type="dxa" w:w="1600"/>
            <w:shd w:fill="F2F4F7"/>
          </w:tcPr>
          <w:p>
            <w:pPr>
              <w:pStyle w:val="TableText"/>
            </w:pPr>
            <w:r>
              <w:rPr>
                <w:b/>
              </w:rPr>
              <w:t>幅度0.5检出</w:t>
            </w:r>
          </w:p>
        </w:tc>
        <w:tc>
          <w:tcPr>
            <w:tcW w:type="dxa" w:w="1600"/>
            <w:shd w:fill="F2F4F7"/>
          </w:tcPr>
          <w:p>
            <w:pPr>
              <w:pStyle w:val="TableText"/>
            </w:pPr>
            <w:r>
              <w:rPr>
                <w:b/>
              </w:rPr>
              <w:t>幅度1.0检出</w:t>
            </w:r>
          </w:p>
        </w:tc>
        <w:tc>
          <w:tcPr>
            <w:tcW w:type="dxa" w:w="1600"/>
            <w:shd w:fill="F2F4F7"/>
          </w:tcPr>
          <w:p>
            <w:pPr>
              <w:pStyle w:val="TableText"/>
            </w:pPr>
            <w:r>
              <w:rPr>
                <w:b/>
              </w:rPr>
              <w:t>幅度1.5检出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pStyle w:val="TableText"/>
            </w:pPr>
            <w:r>
              <w:t>Raw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8.0%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2.0%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17.0%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39.0%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pStyle w:val="TableText"/>
            </w:pPr>
            <w:r>
              <w:t>Time residual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4.0%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4.5%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86.0%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100%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pStyle w:val="TableText"/>
            </w:pPr>
            <w:r>
              <w:t>GSP-Time residual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5.0%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12.0%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97.5%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100%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pStyle w:val="TableText"/>
            </w:pPr>
            <w:r>
              <w:t>Cayley residual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4.0%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12.5%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98.5%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100%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pStyle w:val="TableText"/>
            </w:pPr>
            <w:r>
              <w:t>Cayley mode residual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3.5%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2.0%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37.5%</w:t>
            </w:r>
          </w:p>
        </w:tc>
        <w:tc>
          <w:tcPr>
            <w:tcW w:type="dxa" w:w="1600"/>
          </w:tcPr>
          <w:p>
            <w:pPr>
              <w:pStyle w:val="TableText"/>
            </w:pPr>
            <w:r>
              <w:t>99.5%</w:t>
            </w:r>
          </w:p>
        </w:tc>
      </w:tr>
    </w:tbl>
    <w:p>
      <w:pPr>
        <w:pStyle w:val="Caption"/>
      </w:pPr>
      <w:r>
        <w:t>独立正常测试 200 段，每种事件幅度测试 200 段；阈值标定集 300 段。幅度为合成信号单位。不同方法的实测误报率并非严格相同。</w:t>
      </w:r>
    </w:p>
    <w:p>
      <w:r>
        <w:t>Cayley 与 GSP-Time 在幅度 1.0 时仅相差两次命中，不能据此确立优越性。群模式最大值评分会分散单通道尖峰的能量集中度，本次不如物理通道残差检测。弱事件检出仍不足。</w:t>
      </w:r>
    </w:p>
    <w:p>
      <w:pPr>
        <w:pStyle w:val="Heading1"/>
      </w:pPr>
      <w:r>
        <w:t>第三部分｜004(2)：任务等价与群投影</w:t>
      </w:r>
    </w:p>
    <w:p>
      <w:r>
        <w:t>路线：稀疏事件时间戳 → 差分与相位谱扫描 → 周期相位离散 → 群作用 → 任务等价投影 → 保留残差。左右来源标签已知；周期估计采用 EQUIMEA 启发方法，不是完整解交织算法。</w:t>
      </w:r>
    </w:p>
    <w:p>
      <w:pPr>
        <w:pStyle w:val="Heading2"/>
      </w:pPr>
      <w:r>
        <w:t>周期与 Cayley 结构</w:t>
      </w:r>
    </w:p>
    <w:p>
      <w:r>
        <w:t>左右观测分别为 46、44 个事件。候选周期范围为 0.85–1.15 秒，扫描选中真实值 1.000000 秒。真值位于搜索网格上，本次零误差不表示无限精度或普遍恢复能力。</w:t>
      </w:r>
    </w:p>
    <w:p>
      <w:r>
        <w:t>将左右相位分别离散为 32 格，构建 G＝Z₃₂×Z₃₂，共 1024 个顶点。生成元为两个坐标的正反向移位。平移作用覆盖每个顶点，且保持邻接，给出显式正则作用证据；并未实现任意图的 Sabidussi 自动识别。</w:t>
      </w:r>
    </w:p>
    <w:p>
      <w:pPr>
        <w:pStyle w:val="Heading2"/>
      </w:pPr>
      <w:r>
        <w:t>任务定义与数值结果</w:t>
      </w:r>
    </w:p>
    <w:p>
      <w:r>
        <w:t>共同相位平移视为等价，相对相位变化必须保留。Q 对共同平移子群取平均，任务坐标为“右相位减左相位，模一个周期”。错误投影则把左右独立平移全部合并。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2520"/>
        <w:gridCol w:w="2280"/>
        <w:gridCol w:w="2280"/>
        <w:gridCol w:w="2280"/>
      </w:tblGrid>
      <w:tr>
        <w:trPr>
          <w:cantSplit/>
          <w:tblHeader/>
        </w:trPr>
        <w:tc>
          <w:tcPr>
            <w:tcW w:type="dxa" w:w="2520"/>
            <w:shd w:fill="F2F4F7"/>
          </w:tcPr>
          <w:p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type="dxa" w:w="2280"/>
            <w:shd w:fill="F2F4F7"/>
          </w:tcPr>
          <w:p>
            <w:pPr>
              <w:pStyle w:val="TableText"/>
            </w:pPr>
            <w:r>
              <w:rPr>
                <w:b/>
              </w:rPr>
              <w:t>正确Q变化</w:t>
            </w:r>
          </w:p>
        </w:tc>
        <w:tc>
          <w:tcPr>
            <w:tcW w:type="dxa" w:w="2280"/>
            <w:shd w:fill="F2F4F7"/>
          </w:tcPr>
          <w:p>
            <w:pPr>
              <w:pStyle w:val="TableText"/>
            </w:pPr>
            <w:r>
              <w:rPr>
                <w:b/>
              </w:rPr>
              <w:t>错误Q变化</w:t>
            </w:r>
          </w:p>
        </w:tc>
        <w:tc>
          <w:tcPr>
            <w:tcW w:type="dxa" w:w="2280"/>
            <w:shd w:fill="F2F4F7"/>
          </w:tcPr>
          <w:p>
            <w:pPr>
              <w:pStyle w:val="TableText"/>
            </w:pPr>
            <w:r>
              <w:rPr>
                <w:b/>
              </w:rPr>
              <w:t>对齐残差变化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TableText"/>
            </w:pPr>
            <w:r>
              <w:t>正常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TableText"/>
            </w:pPr>
            <w:r>
              <w:t>共同平移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pStyle w:val="TableText"/>
            </w:pPr>
            <w:r>
              <w:t>单侧相对平移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1.362989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280"/>
          </w:tcPr>
          <w:p>
            <w:pPr>
              <w:pStyle w:val="TableText"/>
            </w:pPr>
            <w:r>
              <w:t>1.352942</w:t>
            </w:r>
          </w:p>
        </w:tc>
      </w:tr>
    </w:tbl>
    <w:p>
      <w:pPr>
        <w:pStyle w:val="Caption"/>
      </w:pPr>
      <w:r>
        <w:t>变化量为相对于正常基准的范数比，不是准确率或概率。共同移位为 7 格，相对移位为 4 格；均在同一相位信号上做整数格移位。</w:t>
      </w:r>
    </w:p>
    <w:p>
      <w:pPr>
        <w:pStyle w:val="Heading2"/>
      </w:pPr>
      <w:r>
        <w:t>数学验证与信息保留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6120"/>
        <w:gridCol w:w="3240"/>
      </w:tblGrid>
      <w:tr>
        <w:trPr>
          <w:cantSplit/>
          <w:tblHeader/>
        </w:trPr>
        <w:tc>
          <w:tcPr>
            <w:tcW w:type="dxa" w:w="6120"/>
            <w:shd w:fill="F2F4F7"/>
          </w:tcPr>
          <w:p>
            <w:pPr>
              <w:pStyle w:val="TableText"/>
            </w:pPr>
            <w:r>
              <w:rPr>
                <w:b/>
              </w:rPr>
              <w:t>检查</w:t>
            </w:r>
          </w:p>
        </w:tc>
        <w:tc>
          <w:tcPr>
            <w:tcW w:type="dxa" w:w="3240"/>
            <w:shd w:fill="F2F4F7"/>
          </w:tcPr>
          <w:p>
            <w:pPr>
              <w:pStyle w:val="TableText"/>
            </w:pPr>
            <w:r>
              <w:rPr>
                <w:b/>
              </w:rPr>
              <w:t>误差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投影幂等性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3.361 × 10⁻¹⁷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完整重构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投影与残差正交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8.674 × 10⁻¹⁹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能量分解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1.388 × 10⁻¹⁷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共同平移不变性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4.068 × 10⁻¹⁸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pStyle w:val="TableText"/>
            </w:pPr>
            <w:r>
              <w:t>群平均与 Fourier 掩码一致性</w:t>
            </w:r>
          </w:p>
        </w:tc>
        <w:tc>
          <w:tcPr>
            <w:tcW w:type="dxa" w:w="3240"/>
          </w:tcPr>
          <w:p>
            <w:pPr>
              <w:pStyle w:val="TableText"/>
            </w:pPr>
            <w:r>
              <w:t>2.784 × 10⁻¹⁷</w:t>
            </w:r>
          </w:p>
        </w:tc>
      </w:tr>
    </w:tbl>
    <w:p>
      <w:r>
        <w:t>代数投影等价于保留满足 kL＋kR≡0（mod 32）的二维 Fourier 模式。任务表示可从 1024 个数缩减为 32 个相对相位格；若保存完整残差，总存储不能宣称同比压缩。</w:t>
      </w:r>
    </w:p>
    <w:p>
      <w:r>
        <w:t>本例联合信号由两条边缘相位直方图的外积构成，不是实测成对事件联合分布。精确不变性是构造性质的验证；独立噪声、量化、周期估计误差及漂移仍需测试。</w:t>
      </w:r>
    </w:p>
    <w:p>
      <w:pPr>
        <w:pStyle w:val="Heading1"/>
      </w:pPr>
      <w:r>
        <w:t>第四部分｜技术依据与后续路线</w:t>
      </w:r>
    </w:p>
    <w:p>
      <w:pPr>
        <w:pStyle w:val="Heading2"/>
      </w:pPr>
      <w:r>
        <w:t>数学工具如何进入设计</w:t>
      </w:r>
    </w:p>
    <w:p>
      <w:r>
        <w:t>Fourier／Proakis：频率分解、滤波与逆变换。集合平均：正常统计基准。Feichtinger：局部窗口与整体性质的组织。Casey：周期识别与互补观测的理论思路。Kutyniok：稀疏、局部、多尺度表示。Mixon／Benedetto–Fickus：框架势与紧性检查。以上理论并非全部已实现，不能将理论保证直接移用于当前模型。</w:t>
      </w:r>
    </w:p>
    <w:p>
      <w:r>
        <w:t>框架实验：完整系统上下界均为 1；删除一条重复处理通道后，下界为 0.5，仍可精确重构但噪声误差增加；删除两条低模式通道后，下界为 0，相对重构误差约 0.989。该冗余来自算法设计，不是新增物理观测。</w:t>
      </w:r>
    </w:p>
    <w:p>
      <w:pPr>
        <w:pStyle w:val="Heading2"/>
      </w:pPr>
      <w:r>
        <w:t>下一步：先验证鲁棒性，再接硬件</w:t>
      </w:r>
    </w:p>
    <w:p>
      <w:r>
        <w:t>004 后续：冻结现有滤波器及阈值，在没有尖峰但结构发生变化的数据上测误报；在独立试次中扫描周期估计误差、时间抖动、漏测及非整数相位移位；采用相对相位等直接基线，检验群表示是否提供额外收益。</w:t>
      </w:r>
    </w:p>
    <w:p>
      <w:r>
        <w:t>005 规划：从双电机或双接触模块台架起步。ECE 负责同步采集、标定、因果处理和延迟测量；ME 负责载荷、摩擦、运动关系和独立真值。先只监测，再验证一种受控干预。CNS 输出评分与状态，由已有控制器执行动作。</w:t>
      </w:r>
    </w:p>
    <w:p>
      <w:pPr>
        <w:pStyle w:val="Heading2"/>
      </w:pPr>
      <w:r>
        <w:t>资料与结果来源</w:t>
      </w:r>
    </w:p>
    <w:p>
      <w:pPr>
        <w:pStyle w:val="Caption"/>
      </w:pPr>
      <w:r>
        <w:t>实验数字：本次对话中提供的 004(1) 重构、残差检测及 004(2) 控制台输出。原始测试采用不同样本规模，不能把重构实验与事件检测实验合并为同一统计样本。</w:t>
      </w:r>
    </w:p>
    <w:p>
      <w:pPr>
        <w:pStyle w:val="Caption"/>
      </w:pPr>
      <w:r>
        <w:t>理论参考：Beck、Ghandehari、Hudson、Paltenstein，Frames for signal processing on Cayley graphs，Theorem 3.4；Casey，Deinterleaving Periodic Processes（用户提供 PDF）；Mixon 等，Three proofs of the Benedetto–Fickus theorem。</w:t>
      </w:r>
    </w:p>
    <w:p>
      <w:pPr>
        <w:pStyle w:val="Caption"/>
      </w:pPr>
      <w:r>
        <w:t>在线资料：</w:t>
        <w:br/>
        <w:t>https://arxiv.org/abs/2303.02812</w:t>
        <w:br/>
        <w:t>https://arxiv.org/abs/2112.02916</w:t>
        <w:br/>
        <w:t>https://github.com/spatialaudio/digital-signal-processing-lecture</w:t>
      </w:r>
    </w:p>
    <w:p>
      <w:pPr>
        <w:pStyle w:val="Heading2"/>
      </w:pPr>
      <w:r>
        <w:t>对外表述</w:t>
      </w:r>
    </w:p>
    <w:p>
      <w:r>
        <w:t>我们已在合成信号中验证：正确结构下可改善背景恢复，并通过残差检查局部事件；任务等价投影能够忽略共同相位变化，同时保留相对偏差。额外检测优势、实时预警及人形机器人防摔能力尚未得到证明。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2026.09.06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CNS  /  MVP 004  /  阶段实验报告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 w:eastAsia="Noto Sans CJK SC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80" w:after="80"/>
    </w:pPr>
    <w:rPr>
      <w:b w:val="0"/>
      <w:bCs/>
      <w:i w:val="0"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before="0" w:after="80" w:line="264" w:lineRule="auto"/>
    </w:pPr>
    <w:rPr>
      <w:b w:val="0"/>
      <w:i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