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202640607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민원인이 사기혐의로 고소장을 제출한 피고소인은 당사와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관계없는 제3자임.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본 건 중고자동차 할부대출이 제3자의 사기·횡령 행위로 인해 체결된 사기 연계 대출이라고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② 민원인은 제3자의 불법 행위로 인해 차량이 임의로 처분·운용되어 정상적인 채무 이행이 불가능한 상태에 이르렀다고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민원인은 형사 고소 및 수사 절차가 진행 중임에도 불구하고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당사가 연체 통지, 채권팀 이관, 신용정보 공유 등 조치를 유지하여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전 금융권 카드 사용 중지 및 금융거래 제한 등 불이익을 받았다고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민원인은 해당 연체 및 신용제한조치는 본인의 귀책이 아닌 제3자의 사기·횡령 행위로 발생한 것이므로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, 채권추심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중단, 연체정보공유중지 및 금융거래제한조치의 재검토를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요청함.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접수번호: </w:t>
      </w:r>
      <w:r>
        <w:rPr>
          <w:rFonts w:ascii="맑은 고딕" w:eastAsia="맑은 고딕" w:hAnsi="맑은 고딕"/>
        </w:rPr>
        <w:t>2025N1475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 w:hint="eastAsia"/>
        </w:rPr>
        <w:t>처리결과: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진행중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① 사기 연계 대출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본 건 대출은 민원인에 대한 본인확인 절차 및 계약 체결에 대한 의사표시에 따라 체결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된 계약입니다. 민원인이 주장하는 제3자의 사기·횡령 행위가 계약의 효력에 어떠한 영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향을 미치는지 여부는 형사 절차와는 별도로 민사상 판단을 통해 확인되어야 할 사안에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해당합니다.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②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형사 고소를 이유로 한 추심 중단 요청에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민원인이 </w:t>
      </w:r>
      <w:r>
        <w:rPr>
          <w:rFonts w:ascii="맑은 고딕" w:eastAsia="맑은 고딕" w:hAnsi="맑은 고딕" w:hint="eastAsia"/>
          <w:color w:val="auto"/>
        </w:rPr>
        <w:t xml:space="preserve">제3자를 상대로 형사 고소를 </w:t>
      </w:r>
      <w:r>
        <w:rPr>
          <w:rFonts w:ascii="맑은 고딕" w:eastAsia="맑은 고딕" w:hAnsi="맑은 고딕" w:hint="eastAsia"/>
          <w:color w:val="auto"/>
        </w:rPr>
        <w:t xml:space="preserve">제기하였다는 사실만으로는 </w:t>
      </w:r>
      <w:r>
        <w:rPr>
          <w:rFonts w:ascii="맑은 고딕" w:eastAsia="맑은 고딕" w:hAnsi="맑은 고딕" w:hint="eastAsia"/>
          <w:color w:val="auto"/>
        </w:rPr>
        <w:t>채무의 존부가 부정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되거나, 채권추심이 자동으로 중단되는 것은 아닙니다. </w:t>
      </w:r>
      <w:r>
        <w:rPr>
          <w:rFonts w:ascii="맑은 고딕" w:eastAsia="맑은 고딕" w:hAnsi="맑은 고딕" w:hint="eastAsia"/>
          <w:color w:val="auto"/>
        </w:rPr>
        <w:t>채권추심</w:t>
      </w:r>
      <w:r>
        <w:rPr>
          <w:rFonts w:ascii="맑은 고딕" w:eastAsia="맑은 고딕" w:hAnsi="맑은 고딕" w:hint="eastAsia"/>
          <w:color w:val="auto"/>
        </w:rPr>
        <w:t>중단은 채무부존재확인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소송 제기와 또는 관계 법령에 따른 중단 사유가 인정되는 경우 등 법적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요건이 충족되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어야 가능한 사항입니다.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③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연체 관리 및 신용정보 공유의 정당성에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금융거래상 연체여부는 약정된 납입일을 기준으로 판단되며, 형사 고소 여부 또는 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사 진행 여부는 연체 관리나 신용정보 공유를 제한하는 사유에 해당하지 않습니다.</w:t>
      </w:r>
    </w:p>
    <w:p>
      <w:pPr>
        <w:pStyle w:val="a3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④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연체 및 신용제한조치의 귀책 관련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제3자의 </w:t>
      </w:r>
      <w:r>
        <w:rPr>
          <w:rFonts w:ascii="맑은 고딕" w:eastAsia="맑은 고딕" w:hAnsi="맑은 고딕" w:hint="eastAsia"/>
          <w:color w:val="auto"/>
        </w:rPr>
        <w:t>불법행위의 존재 및 귀책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여부는 수사기관 또는 법원의 판단을 통해 확정되어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야 할 사안입니다.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대출채무의 존부가 유지되는 이상, 민원인과 제3자 사이의 관계에서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발생한 사정을 이유로 당사의 연체 관리 및 신용정보 처리의 책임을 당사에 귀속시키기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는 어렵습니다.</w:t>
      </w:r>
    </w:p>
    <w:p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-1"/>
        <w:snapToGrid w:val="0"/>
        <w:tabs>
          <w:tab w:val="left" w:pos="7655"/>
        </w:tabs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본 건 대출은 민원인에 대한 본인확인 절차를 거쳐 체결된 </w:t>
      </w:r>
      <w:r>
        <w:rPr>
          <w:rFonts w:ascii="맑은 고딕" w:eastAsia="맑은 고딕" w:hAnsi="맑은 고딕" w:hint="eastAsia"/>
        </w:rPr>
        <w:t>계약입니다.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민원인이 주장하는 제3자의 사기·횡령 행위가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계약의 효력이나 채무의 존부에 미치는 영향은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민법에 따른 채무부존재확인소송 등 사법절차를 통해 판단되어야 할 </w:t>
      </w:r>
      <w:r>
        <w:rPr>
          <w:rFonts w:ascii="맑은 고딕" w:eastAsia="맑은 고딕" w:hAnsi="맑은 고딕" w:hint="eastAsia"/>
        </w:rPr>
        <w:t xml:space="preserve">사안으로 </w:t>
      </w:r>
      <w:r>
        <w:rPr>
          <w:rFonts w:ascii="맑은 고딕" w:eastAsia="맑은 고딕" w:hAnsi="맑은 고딕" w:hint="eastAsia"/>
        </w:rPr>
        <w:t>현 단계에서는 당사가 민원인의 요청을 수용하기 어렵다는 점을 안내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드립니다</w:t>
      </w:r>
      <w:r>
        <w:rPr>
          <w:rFonts w:ascii="맑은 고딕" w:eastAsia="맑은 고딕" w:hAnsi="맑은 고딕" w:hint="eastAsia"/>
        </w:rPr>
        <w:t>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left="240" w:right="272" w:hangingChars="200" w:hanging="24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 w:val="12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2026-04-21T07:45:28Z</dcterms:modified>
  <cp:lastPrinted>2026-01-29T01:58:00Z</cp:lastPrinted>
  <cp:version>1200.0100.01</cp:version>
</cp:coreProperties>
</file>