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rFonts w:ascii="맑은 고딕" w:eastAsia="맑은 고딕" w:hAnsi="맑은 고딕" w:hint="eastAsia"/>
          <w:b/>
          <w:bCs/>
          <w:sz w:val="28"/>
          <w:szCs w:val="28"/>
        </w:rPr>
        <w:t>접수번호 </w:t>
      </w:r>
      <w:r>
        <w:rPr>
          <w:rFonts w:ascii="맑은 고딕" w:eastAsia="맑은 고딕" w:hAnsi="맑은 고딕"/>
          <w:b/>
          <w:bCs/>
          <w:sz w:val="28"/>
          <w:szCs w:val="28"/>
        </w:rPr>
        <w:t>202640240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firstLineChars="213" w:firstLine="426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민원인은 제휴 플랫폼(토스)을 통해 차량담보대출 가능 여부를 확인한 후, 당사 상담원</w:t>
      </w: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의 안내에 따라 대출을 진행하였으며, 신용조회 및 한도·금리 안내를 받은 뒤 전자약정</w:t>
      </w: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까지 완료하였음에도 불구하고 최종 단계에서 대출이 거절되었다고 주장하고 있습니다.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이에 대해 민원인은,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① 대출이 가능하다는 안내를 받고 최종 단계까지 절차를 진행하였음에도 대출이 거절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된 점은 부당하며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,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② 기존 대출금 과다 등 거절 사유는 초기 신용조회 단계에서 이미 확인 가능했음에도 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이를 사전에 반영하지 않고 절차를 진행하게 하여 시간적·경제적 손해를 초래하였고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,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③ 반복적인 신용조회로 인해 신용점수가 하락하였으므로 이에 대한 피해보상을 요구하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고 있습니다.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해당사항없음</w:t>
      </w:r>
    </w:p>
    <w:p>
      <w:pPr>
        <w:pStyle w:val="a3"/>
        <w:ind w:leftChars="200" w:left="400" w:firstLineChars="13" w:firstLine="26"/>
        <w:shd w:val="clear" w:color="auto" w:fill="FFFFFF"/>
        <w:spacing w:line="240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pStyle w:val="a3"/>
        <w:shd w:val="clear" w:color="auto" w:fill="FFFFFF"/>
        <w:spacing w:line="240" w:lineRule="auto"/>
        <w:rPr>
          <w:rFonts w:ascii="바탕" w:eastAsia="바탕" w:hAnsi="바탕" w:cs="바탕"/>
          <w:b/>
          <w:bCs/>
          <w:shd w:val="clear" w:color="auto" w:fill="FFFF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①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전자약정완료가 대출계약의 확정적 성립을 의미한다는 주장에 대하여</w:t>
      </w: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당사가 발송한 전자약정은 대출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실행을 확정하는 절차가 아니라, 최종심사 결과에 따라 </w:t>
      </w: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대출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실행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여부가 결정되는 조건부 승인 단계에 해당합니다.</w:t>
      </w: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상담 과정에서 민원인에게, 제출된 정보가 사실과 다르거나 대출 실행 전 신용상태 등</w:t>
      </w: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에 변동이 발생할 경우 대출 조건이 변경되거나 대출이 거절될 수 있음을 사전에 안내</w:t>
      </w: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하였으며, 전자약정 역시 이러한 전제를 바탕으로 진행되었습니다.</w:t>
      </w: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또한 당사 개인신용대출 약관 제3조 제1항에 따르면, 대출은 금융회사가 대출금을 채무</w:t>
      </w: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자가 지정한 계좌에 입금함으로써 실행된 것으로 봄이 명시되어 있어, 전자약정만으로 </w:t>
      </w: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대출계약의 효력이 확정되었다고 보기는 어렵습니다.</w:t>
      </w: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/>
          <w:noProof/>
          <w:color w:val="auto"/>
          <w:szCs w:val="24"/>
          <w:kern w:val="2"/>
          <w:shd w:val="clear" w:color="auto" w:fill="FFFFFF"/>
        </w:rPr>
        <w:t>[</w:t>
      </w:r>
      <w:r>
        <w:rPr>
          <w:rFonts w:ascii="맑은 고딕" w:eastAsia="맑은 고딕" w:hAnsi="맑은 고딕" w:cs="Times New Roman" w:hint="eastAsia"/>
          <w:noProof/>
          <w:color w:val="auto"/>
          <w:szCs w:val="24"/>
          <w:kern w:val="2"/>
          <w:shd w:val="clear" w:color="auto" w:fill="FFFFFF"/>
        </w:rPr>
        <w:t>토스 브릿지(연결)페이지의 안내 일부]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/>
          <w:b/>
          <w:noProof/>
          <w:color w:val="auto"/>
          <w:szCs w:val="24"/>
          <w:kern w:val="2"/>
          <w:shd w:val="clear" w:color="auto" w:fill="FFFFFF"/>
        </w:rPr>
        <w:drawing>
          <wp:anchor distT="0" distB="0" distL="114300" distR="114300" behindDoc="0" locked="0" layoutInCell="1" simplePos="0" relativeHeight="251660288" allowOverlap="1" hidden="0">
            <wp:simplePos x="0" y="0"/>
            <wp:positionH relativeFrom="column">
              <wp:posOffset>252730</wp:posOffset>
            </wp:positionH>
            <wp:positionV relativeFrom="paragraph">
              <wp:posOffset>53340</wp:posOffset>
            </wp:positionV>
            <wp:extent cx="3252470" cy="2667000"/>
            <wp:effectExtent l="0" t="0" r="0" b="0"/>
            <wp:wrapSquare wrapText="bothSides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947" b="17426"/>
                    <a:stretch>
                      <a:fillRect/>
                    </a:stretch>
                  </pic:blipFill>
                  <pic:spPr>
                    <a:xfrm>
                      <a:off x="0" y="0"/>
                      <a:ext cx="3252470" cy="2667000"/>
                    </a:xfrm>
                    <a:prstGeom prst="rect"/>
                    <a:ln>
                      <a:solidFill>
                        <a:schemeClr val="l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shd w:val="clear" w:color="auto" w:fill="FFFFFF"/>
        <w:spacing w:line="240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②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대출약정 이후 심사를 진행하여 부결 처리한 것이 부당하다는 주장에 대하여</w:t>
      </w: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본 건 상품은 전자약정 이후에도 신용정보 변동 여부, 제출서류 검증 등 대출 실행 전 </w:t>
      </w: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최종심사가 예정된 구조로 운영됩니다.</w:t>
      </w: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본 건의 경우, 2026.01.09 전자약정이 완료된 이후, 최종심사 과정에서 민원인의 채무·</w:t>
      </w: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신용도·소득 등 신용 관련 정보가 내부 심사기준에 부합하지 않는 것으로 확인되어 대</w:t>
      </w: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출 불가로 판단되었습니다.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이는 약정 이후 임의로 판단을 번복한 것이 아니라, 사전에 </w:t>
      </w: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고지된 조건 충족 여부를 확인하는 최종심사 결과에 따른 것으로, 절차상 부당하다고 </w:t>
      </w: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보기 어렵습니다.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b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 xml:space="preserve">③ </w:t>
      </w:r>
      <w:r>
        <w:rPr>
          <w:rFonts w:ascii="맑은 고딕" w:eastAsia="맑은 고딕" w:hAnsi="맑은 고딕" w:cs="Times New Roman" w:hint="eastAsia"/>
          <w:b/>
          <w:color w:val="auto"/>
          <w:szCs w:val="24"/>
          <w:kern w:val="2"/>
          <w:shd w:val="clear" w:color="auto" w:fill="FFFFFF"/>
        </w:rPr>
        <w:t>시간적 손해 및 신용점수 하락에 대한 책임 및 보상 요구에 대하여</w:t>
      </w: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민원인이 주장하는 시간적 소요는 대출 신청 과정에서 필요한 서류 제출 및 확인 절차</w:t>
      </w: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에 따른 것으로, 당사가 민원인에게 허위 또는 기망적인 안내를 통해 불필요한 절차를 </w:t>
      </w: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강요하였다고 볼 만한 사정은 확인되지 않았습니다.</w:t>
      </w: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 xml:space="preserve">또한 신용점수 변동은 외부 신용평가사의 산정 기준에 따라 결정되는 사항으로, 당사가 </w:t>
      </w: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이를 임의로 조정하거나 보상할 수 있는 대상이 아니며, 신용조회 또한 민원인의 동의</w:t>
      </w: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를 받아 정상적인 절차에 따라 이루어졌습니다.</w:t>
      </w:r>
    </w:p>
    <w:p>
      <w:pPr>
        <w:pStyle w:val="a3"/>
        <w:ind w:leftChars="200" w:left="1000" w:hangingChars="300" w:hanging="6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  <w:shd w:val="clear" w:color="auto" w:fill="FFFFFF"/>
        </w:rPr>
        <w:t>따라서 민원인이 주장하는 손해에 대해 당사가 배상 책임을 부담하기는 어렵습니다.</w:t>
      </w:r>
    </w:p>
    <w:p>
      <w:pPr>
        <w:pStyle w:val="a3"/>
        <w:ind w:leftChars="200" w:left="1000" w:hangingChars="300" w:hanging="600"/>
        <w:shd w:val="clear" w:color="auto" w:fill="FFFFFF"/>
        <w:spacing w:line="240" w:lineRule="auto"/>
        <w:rPr>
          <w:rFonts w:ascii="맑은 고딕" w:eastAsia="맑은 고딕" w:hAnsi="맑은 고딕" w:cs="Times New Roman"/>
          <w:color w:val="auto"/>
          <w:szCs w:val="24"/>
          <w:kern w:val="2"/>
          <w:shd w:val="clear" w:color="auto" w:fill="FFFFFF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leftChars="71" w:left="200" w:hangingChars="29" w:hanging="58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ind w:right="272" w:firstLineChars="100" w:firstLine="200"/>
        <w:snapToGrid w:val="0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 </w:t>
      </w:r>
    </w:p>
    <w:p>
      <w:pPr>
        <w:ind w:leftChars="200" w:left="400" w:right="-1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민원인이 요청한 대출실행 또는 피해보상은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전자약정 이후 최종심사결과에 따라 대출이 부결된 본 건의 처리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경위 및 관련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약관, 내부심사기준 등을 종합적으로 고려할 때 수용하기 어렵다는 입장입니다</w:t>
      </w:r>
      <w:r>
        <w:rPr>
          <w:rFonts w:ascii="맑은 고딕" w:eastAsia="맑은 고딕" w:hAnsi="맑은 고딕" w:hint="eastAsia"/>
        </w:rPr>
        <w:t>.</w:t>
      </w:r>
    </w:p>
    <w:p>
      <w:pPr>
        <w:ind w:leftChars="200" w:left="400" w:right="-1"/>
        <w:snapToGrid w:val="0"/>
        <w:spacing w:line="276" w:lineRule="auto"/>
        <w:textAlignment w:val="baselin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다만, 전자약정완료안내가 대출확정으로 오인될 소지가 있다는 점을 고려하여</w:t>
      </w:r>
      <w:r>
        <w:rPr>
          <w:rFonts w:ascii="맑은 고딕" w:eastAsia="맑은 고딕" w:hAnsi="맑은 고딕" w:hint="eastAsia"/>
        </w:rPr>
        <w:t>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향후 전자약정이후에도 최종심사결과에 따라 대출실행여부가 결정된다는 점이 보다 명확히 인식될 수 있도록 안내 문구 개선을 검토할 예정입니다.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-1" w:firstLineChars="200" w:firstLine="368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leftChars="100" w:left="200" w:right="272" w:firstLineChars="122" w:firstLine="244"/>
        <w:snapToGrid w:val="0"/>
        <w:textAlignment w:val="baseline"/>
        <w:rPr>
          <w:rFonts w:ascii="맑은 고딕" w:eastAsia="맑은 고딕" w:hAnsi="맑은 고딕" w:cs="굴림"/>
          <w:b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2025-07-16T06:22:00Z</dcterms:created>
  <dcterms:modified xsi:type="dcterms:W3CDTF">2026-04-21T07:53:49Z</dcterms:modified>
  <cp:lastPrinted>2025-11-11T23:56:00Z</cp:lastPrinted>
  <cp:version>1200.0100.01</cp:version>
</cp:coreProperties>
</file>