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202641531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차량 반납 당시 “차량 인수증”에 기재되지 않은 차량 문제를 근거로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   당사가 수리비를 청구하고 있다고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  <w:t>② 민원인은 중고차량에 대해 감가상각을 고려하지 않고 신품 교체 기준으로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  <w:t xml:space="preserve">   비용을 산정하는 것은 과도한 부담 전가라고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  <w:t>③ 통상적인 사용으로 발생한 생활 스크래치까지 전면 복원 비용으로 청구하는 것은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  <w:t xml:space="preserve">   원상회복이 아닌 차량 상품성 개선 비용의 전가라고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  <w:t xml:space="preserve">④ 보험처리를 통해 정상 수리된 부위(리어범퍼)에 대한 추가 감가는 이중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  <w:t xml:space="preserve">   불이익이라고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  <w:t xml:space="preserve">⑤ 민원인은 당사의 응대에 있어서 합리적인 설명이나 조정 의지가 전혀 보이지 않고, 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  <w:t xml:space="preserve">   “민원을 제기하려면 제기하라” 라고 응대했다고 주장함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해당사항없음.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 xml:space="preserve"> 차량 인수증에 기재되지 않은 수리비 청구에 대하여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민원인이 교부받은 “차량 인수증”은 반납을 위한 탁송 과정에서 차량에 문제 발생시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확인을 위한 민원인과 탁송인 사이의 인수증입니다. 해당 인수증은 민원인과 당사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사이의 관계에서는 효력이 없으며, 탁송인은 반환 자동차의 문제에 대한 가치감가/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원상회복비를 확정할 권한도 없습니다.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당사에서는 민원인께 기교부한 자동차리스 반환자동차 평가금액 청구서를 통해 확정된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가치감가/원상회복비를 안내해드리고 있습니다.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 xml:space="preserve">② 감가상각을 고려하지 않은 비용산정에 대하여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1) 5년째 리스를 이용하고 있는 차량이 중고차로서 감가가 고려되지 않았다.는 의견에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  대하여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  - 당사는 약정시 제공한 “자동차리스 약관 중고차 기대가치 산정방식*에 따라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   중고차의 경과년수별 잔가율을 고려하여 산정된 반환자동차의 기대가치에 부위별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   가치감가율을 곱하여 감가금액** 산정하고 있습니다.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   즉, 감가금액 산정시 중고차의 경과연수(감가상각)를 고려하여 산정하고 있습니다.</w:t>
      </w:r>
    </w:p>
    <w:tbl>
      <w:tblPr>
        <w:tblStyle w:val="a6"/>
        <w:tblpPr w:vertAnchor="text" w:horzAnchor="page" w:tblpX="1947" w:tblpY="91"/>
        <w:tblInd w:w="0" w:type="dxa"/>
        <w:tblLook w:val="04A0" w:firstRow="1" w:lastRow="0" w:firstColumn="1" w:lastColumn="0" w:noHBand="0" w:noVBand="1"/>
        <w:tblLayout w:type="autofit"/>
      </w:tblPr>
      <w:tblGrid>
        <w:gridCol w:w="8143"/>
      </w:tblGrid>
      <w:tr>
        <w:tc>
          <w:tcPr>
            <w:tcW w:w="8143" w:type="dxa"/>
          </w:tcPr>
          <w:p>
            <w:pPr>
              <w:pStyle w:val="a3"/>
              <w:ind w:leftChars="200" w:left="1000" w:hangingChars="300" w:hanging="600"/>
              <w:shd w:val="clear" w:color="auto" w:fill="FFFFFF"/>
              <w:spacing w:line="240" w:lineRule="auto"/>
              <w:rPr>
                <w:lang w:eastAsia="ko-KR"/>
                <w:rFonts w:ascii="맑은 고딕" w:eastAsia="맑은 고딕" w:hAnsi="맑은 고딕" w:cs="Times New Roman" w:hint="eastAsia"/>
                <w:b w:val="0"/>
                <w:color w:val="auto"/>
                <w:szCs w:val="24"/>
                <w:kern w:val="2"/>
                <w:shd w:val="clear" w:color="auto" w:fill="FFFFFF"/>
                <w:rtl w:val="off"/>
              </w:rPr>
            </w:pPr>
            <w:r>
              <w:rPr>
                <w:lang w:eastAsia="ko-KR"/>
                <w:rFonts w:ascii="맑은 고딕" w:eastAsia="맑은 고딕" w:hAnsi="맑은 고딕" w:cs="Times New Roman" w:hint="eastAsia"/>
                <w:b w:val="0"/>
                <w:color w:val="auto"/>
                <w:szCs w:val="24"/>
                <w:kern w:val="2"/>
                <w:shd w:val="clear" w:color="auto" w:fill="FFFFFF"/>
                <w:rtl w:val="off"/>
              </w:rPr>
              <w:t xml:space="preserve">  * 반환시점의 중고차 기대가치(혹은 중고차 시세) : 등록시 신고가액 x 지방세법</w:t>
            </w:r>
          </w:p>
          <w:p>
            <w:pPr>
              <w:pStyle w:val="a3"/>
              <w:ind w:leftChars="200" w:left="1000" w:hangingChars="300" w:hanging="600"/>
              <w:shd w:val="clear" w:color="auto" w:fill="FFFFFF"/>
              <w:spacing w:line="240" w:lineRule="auto"/>
              <w:rPr>
                <w:lang w:eastAsia="ko-KR"/>
                <w:rFonts w:ascii="맑은 고딕" w:eastAsia="맑은 고딕" w:hAnsi="맑은 고딕" w:cs="Times New Roman" w:hint="eastAsia"/>
                <w:b w:val="0"/>
                <w:color w:val="auto"/>
                <w:szCs w:val="24"/>
                <w:kern w:val="2"/>
                <w:shd w:val="clear" w:color="auto" w:fill="FFFFFF"/>
                <w:rtl w:val="off"/>
              </w:rPr>
            </w:pPr>
            <w:r>
              <w:rPr>
                <w:lang w:eastAsia="ko-KR"/>
                <w:rFonts w:ascii="맑은 고딕" w:eastAsia="맑은 고딕" w:hAnsi="맑은 고딕" w:cs="Times New Roman" w:hint="eastAsia"/>
                <w:b w:val="0"/>
                <w:color w:val="auto"/>
                <w:szCs w:val="24"/>
                <w:kern w:val="2"/>
                <w:shd w:val="clear" w:color="auto" w:fill="FFFFFF"/>
                <w:rtl w:val="off"/>
              </w:rPr>
              <w:t xml:space="preserve">    시행령 제4조 제1항에 따른 행정안전부 발표 경과연수별 잔가율</w:t>
            </w:r>
          </w:p>
          <w:p>
            <w:pPr>
              <w:pStyle w:val="a3"/>
              <w:ind w:leftChars="0" w:left="0" w:hangingChars="300" w:hanging="0" w:firstLineChars="0" w:firstLine="0"/>
              <w:shd w:val="clear" w:color="auto" w:fill="FFFFFF"/>
              <w:spacing w:line="240" w:lineRule="auto"/>
              <w:rPr>
                <w:lang w:eastAsia="ko-KR"/>
                <w:rFonts w:ascii="맑은 고딕" w:eastAsia="맑은 고딕" w:hAnsi="맑은 고딕" w:cs="Times New Roman" w:hint="eastAsia"/>
                <w:b w:val="0"/>
                <w:color w:val="auto"/>
                <w:szCs w:val="24"/>
                <w:kern w:val="2"/>
                <w:shd w:val="clear" w:color="auto" w:fill="FFFFFF"/>
                <w:rtl w:val="off"/>
              </w:rPr>
            </w:pPr>
            <w:r>
              <w:rPr>
                <w:lang w:eastAsia="ko-KR"/>
                <w:rFonts w:ascii="맑은 고딕" w:eastAsia="맑은 고딕" w:hAnsi="맑은 고딕" w:cs="Times New Roman" w:hint="eastAsia"/>
                <w:b w:val="0"/>
                <w:color w:val="auto"/>
                <w:szCs w:val="24"/>
                <w:kern w:val="2"/>
                <w:shd w:val="clear" w:color="auto" w:fill="FFFFFF"/>
                <w:rtl w:val="off"/>
              </w:rPr>
              <w:t xml:space="preserve">       ** 감가금액 : 반환시점의 자동차의 기대가치(혹은 중고차 시세) x 감가율의 합</w:t>
            </w:r>
          </w:p>
        </w:tc>
      </w:tr>
    </w:tbl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[자동차리스 반환자동차 평가내역]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drawing>
          <wp:inline distT="0" distB="0" distL="0" distR="0">
            <wp:extent cx="5400040" cy="257111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당사는 객관성 유지 및 고객의 예측 가능성을 보호하기 위해 자동차리스 약관 26조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(반환자동차의 평가) 2항에 따라 홈페이지에 차량반납시 부위별 감가율표를 정하여 게시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하고 있습니다.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2) 리스를 실행한 차량이 2년이 경과한 중고차량임에도 불구하고 이 점은 감가상각에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  반영되지 않았다.는 의견에 대하여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  - 해당 중고리스 대상 차량은 민원인이 20년12월29일 리스 실행시 민원인이 직접 선택을 하고, 하자유무 검사 및 그 결과에 대한 확인을 거친 차량입니다.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     (리스실행 당시 성능·상태점검기록부, 민원인의 교부 확인증 별첨)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③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생활 스크래치에 대한 원상복구비 청구는 비용의 전가라는 주장에 대하여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민원인은 자동차리스 약관 제15조에 따라 리스계약 종료시 자동차의 본래의 기능,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외형으로 복구할 의무가 있습니다. 민원인이 주장한 휠에 발생한 생활스크래치는 반환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자동차 평가기관에 의해 본래의 기능·외형 복구가 필요한 부위로 판단되었습니다.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④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정상 수리 완료 부위에 대한 추가 감가에 대하여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자동차는 골격 부위(리어패널)의 수리 시 안전성이 하락하는 특성이 있고, 교부된 자동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차리스 약관에도 보험수리 경력 등의 감가사유를 근거로 가치감가 비용 청구가 가능함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이 명시되어 있습니다. 따라서 정상 수리가 완료되었다고 하더라도 이는 자동차의 가치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감가를 수반하므로 이중 감가에 해당하지 않습니다.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⑤ 당사의 민원응대에 대하여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민원인은 당사가 민원응대 과정에서 “민원을 제기하려면 제기하라”는 식의 응대를 했다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고 주장하였으나, 26.01.26 응대 녹취에 따르면 민원인께서 청구금액 인하가 이루어지지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않을시 “금융감독원에 제소하여 받아내겠다”라고 먼저 언급해주신 점 확인되고,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26.01.27 응대시 해당 평가금액이 산정된 사유를 부위별로 설명하고 평가에 이의가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있을 경우 다른 공업사 등 평가기관에 금액을 의뢰하셔도 된다는 점 또한 설명 드렸습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니다.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본 건은 민원인의 입장에서 탁송기사로부터 교부받은 ‘인수확인증’과 반환자동차 평가기관에 의해 평가된 금액에 의한 당사의 ‘평가금액 청구서’에 대한 오인에서 기인했다고 생각됩니다. 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만약 민원인께서 기존 평가기관에 의한 반환자동차의 평가금액에 이의가 있을 경우 자동차리스약관 제26조 2항에 명시되어 있는 것과 같이 당사와 상호협의하에 별도의 평가기관을 정할 수 있고, 해당 평가기관에 의한 평가결과를 참고할 수 있습니다. 다만, 해당 평가기관에 평가의뢰를 위해 발생하는 부대비용(탁송료 등)은 민원인의 책임하에 있고, 해당 평가기관(일반적으로 해당 자동차 공식센터)의 가치감가 평가금액은 기존 평가기관과 다를 수 있다는 점을 사전에 안내 드립니다. 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>또한 당사는 민원인의 불만사항과 본건의 원만한 해결을 도모하고자 기존 가치감가/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원상회복비 8,663,997원에서 932,998원을 감면해드렸습니다. 이러한 노력을 다하고 있다는 점을 한번 더 고려해주십사 요청드립니다. 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lang w:eastAsia="ko-KR"/>
          <w:rFonts w:ascii="맑은 고딕" w:eastAsia="맑은 고딕" w:hAnsi="맑은 고딕" w:cs="굴림" w:hint="eastAsia"/>
          <w:color w:val="000000"/>
          <w:szCs w:val="20"/>
          <w:kern w:val="0"/>
          <w:spacing w:val="-8"/>
          <w:rtl w:val="off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2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2026-04-21T07:54:36Z</dcterms:modified>
  <cp:lastPrinted>2026-02-03T05:45:11Z</cp:lastPrinted>
  <cp:version>1200.0100.01</cp:version>
</cp:coreProperties>
</file>