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202641339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민원인이 사기혐의로 고소장을 제출한 피고소인은 당사와 어떠한 관계도 없는 제3자임.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민원인은 신용회복절차를 진행중인 금융소비자임에도 불구하고, 중고차시세 약 700만원 수준의 차량에 대해 2,790만원의 과도한 대출이 실행되었다고 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대출금이 민원인 본인명의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좌로 입금된 사실이 없고, 정지수모터스 및 정지수 개인 명의 토스 계좌로 지급되었다고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차량을 직접 확인하지 않았고, 차량매매 및 대출계약과정에 실질적으로 관여하지 않았다고 주장함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사기혐의로 경찰신고가 접수된 상태임에도 불구하고, 자동이체해지이후에도 채권관리가 이루어지고 있다며 부당출금중단 및 금융감독원의 조사 개입을 요청함.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계약 체결의 진정성 및 본인확인 절차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2025.09.04. 당사와 중고차 할부금융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약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(대출금액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: 2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790만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원 / 계약기간: 60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개월 / 금리: 연15.9%)을 체결하였습니다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.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계약체결과정에서 휴대전화 본인인증, 신분증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OCR 촬영, 본인 명의 계좌 확인 및 1원 인증 등 다중 본인확인 절차를 거쳐 계약이 체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결 되었습니다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.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또한 당사는 계약과정에서 본인이 직접 차량을 운행하는 목적 외에 제3자와 이면계약을 체결하거나 명의를 대여하는 금융사기피해사례가 발생할 수 있음을 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내하였으며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이에 대해 제3자와 별도의 계약 또는 약정을 체결한 사실이 없음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을 진술하였습니다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차량 인수 및 소유권 귀속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계약체결직후, 본 건 차량은 자동차등록원부상 민원인 명의로 이전 등록된 사실이 확인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되었습니다.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이에 따라 민원인은 본 건 차량에 대한 소유권을 취득한 상태이며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차량의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실제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사용·관리과정에서 발생한 사항은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직접 관여하거나 확인할 수 있는 영역에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해당하지 않습니다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대출금지급구조의 적법성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체결한 중고차할부금융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상품은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가 민원인을 대신하여 물품(자동차) 판매자에게 대출금을 지급하고,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해당 차량의 소유권을 취득한 후 할부금 형태로 상환하는 구조입니다.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이에 따라 대출금은 민원인본인계좌로 입금되는 구조가 아니며,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 시 안내된 바와 같이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수령위임처(매매상사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)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로 지급됩니다.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계약과정에서 대출금이 수령위임처로 송금됨을 사전 안내하였고,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차량을 인수받지 못한 경우 즉시 당사로 연락해 달라는 안내 문자를 발송하였으나, 이에 대한 민원인의 별도 회신이나 이의 제기는 확인되지 않았습니다.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④ 차량 시세 700만 원 주장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외부 시세정보 제공업체의 자동차시세자료와 당사내부기준에 따라 차량시세를 산정하고 있으며,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자동차매매계약서상 매매금액과 당사내부산정시세 중 더 낮은금액을 기준으로 차량금액을 확정하여 계약을 진행하고 있습니다.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건에서는 양도인(매매상사)과 양수인(민원인)이 기재된 자동차양도증명서상 차량금액 2,790만원을 확인하여 계약을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실행하였으며,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주장하는 “해당 차량의 실질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시세가 700만원 수준”이라는 부분은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민원인과 딜러간 분쟁에 관한 주장으로,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당사가 사전에 인지하거나 확인할 수 있는 사항이라고 보기 어렵습니다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⑤ 제3자 개입에 대한 사후 진술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2026.01.21. 미납상담과정에서 민원인은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“제3자가 약3개월간 대출을 진행하면 이후 차량을 가져간다고 설명한 바 있다”는 취지의 발언을 한 사실이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이는 계약체결당시 민원인이 당사에 진술한 내용과는 상이한 사후 진술로서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.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계약체결시점에 당사가 해당 사실을 인지하거나 확인할 수 있었던 정황은 없습니다.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⑥ 자동이체 해지 및 향후 연체 가능성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본인의 의사로 자동이체를 해지한 상태로 확인되며,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이는 대출계약상 채무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자체를 소멸시키는 것은 아닙니다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.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향후 약정된 납입일에 가상계좌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납입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등으로 상환이 이루어지지 않을 경우,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연체가 발생할 수 있으며,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 경우 관련 법령 및 당사 채권관리기준에 따라 채권관리절차가 진행될 수 있음을 안내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드립니다.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[계</w:t>
      </w:r>
      <w:r>
        <w:rPr>
          <w:rFonts w:ascii="맑은 고딕" w:eastAsia="맑은 고딕" w:hAnsi="맑은 고딕" w:hint="eastAsia"/>
          <w:color w:val="auto"/>
        </w:rPr>
        <w:t>약체결</w:t>
      </w:r>
      <w:r>
        <w:rPr>
          <w:rFonts w:ascii="맑은 고딕" w:eastAsia="맑은 고딕" w:hAnsi="맑은 고딕" w:hint="eastAsia"/>
          <w:color w:val="auto"/>
        </w:rPr>
        <w:t>과정중</w:t>
      </w:r>
      <w:r>
        <w:rPr>
          <w:rFonts w:ascii="맑은 고딕" w:eastAsia="맑은 고딕" w:hAnsi="맑은 고딕" w:hint="eastAsia"/>
          <w:color w:val="auto"/>
        </w:rPr>
        <w:t xml:space="preserve"> 민원인에게 </w:t>
      </w:r>
      <w:r>
        <w:rPr>
          <w:rFonts w:ascii="맑은 고딕" w:eastAsia="맑은 고딕" w:hAnsi="맑은 고딕" w:hint="eastAsia"/>
          <w:color w:val="auto"/>
        </w:rPr>
        <w:t>발송된 문자메시지</w:t>
      </w:r>
      <w:r>
        <w:rPr>
          <w:rFonts w:ascii="맑은 고딕" w:eastAsia="맑은 고딕" w:hAnsi="맑은 고딕" w:hint="eastAsia"/>
          <w:color w:val="auto"/>
        </w:rPr>
        <w:t xml:space="preserve"> 중 일부</w:t>
      </w:r>
      <w:r>
        <w:rPr>
          <w:rFonts w:ascii="맑은 고딕" w:eastAsia="맑은 고딕" w:hAnsi="맑은 고딕" w:hint="eastAsia"/>
          <w:color w:val="auto"/>
        </w:rPr>
        <w:t>]</w:t>
      </w:r>
    </w:p>
    <w:p>
      <w:pPr>
        <w:pStyle w:val="a3"/>
        <w:spacing w:line="240" w:lineRule="auto"/>
        <w:rPr>
          <w:rFonts w:ascii="맑은 고딕" w:eastAsia="맑은 고딕" w:hAnsi="맑은 고딕" w:hint="eastAsia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/>
          <w:b/>
          <w:noProof/>
          <w:color w:val="auto"/>
        </w:rPr>
        <w:drawing>
          <wp:anchor distT="0" distB="0" distL="114300" distR="114300" behindDoc="0" locked="0" layoutInCell="1" simplePos="0" relativeHeight="251661312" allowOverlap="1" hidden="0">
            <wp:simplePos x="0" y="0"/>
            <wp:positionH relativeFrom="column">
              <wp:posOffset>62865</wp:posOffset>
            </wp:positionH>
            <wp:positionV relativeFrom="paragraph">
              <wp:posOffset>275590</wp:posOffset>
            </wp:positionV>
            <wp:extent cx="5276850" cy="4548505"/>
            <wp:effectExtent l="0" t="0" r="0" b="0"/>
            <wp:wrapSquare wrapText="bothSides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48505"/>
                    </a:xfrm>
                    <a:prstGeom prst="rect"/>
                    <a:ln>
                      <a:solidFill>
                        <a:schemeClr val="l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[계약체결과정중 대출사기 방지를 위한 안내문</w:t>
      </w:r>
      <w:r>
        <w:rPr>
          <w:rFonts w:ascii="맑은 고딕" w:eastAsia="맑은 고딕" w:hAnsi="맑은 고딕" w:hint="eastAsia"/>
          <w:color w:val="auto"/>
        </w:rPr>
        <w:t xml:space="preserve"> 중 일부</w:t>
      </w:r>
      <w:r>
        <w:rPr>
          <w:rFonts w:ascii="맑은 고딕" w:eastAsia="맑은 고딕" w:hAnsi="맑은 고딕" w:hint="eastAsia"/>
          <w:color w:val="auto"/>
        </w:rPr>
        <w:t>]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[계약체결과정중 대출금 지급 및 수령위임 등에 관한 특약 중 일부]</w:t>
      </w:r>
    </w:p>
    <w:p>
      <w:pPr>
        <w:pStyle w:val="a3"/>
        <w:spacing w:line="240" w:lineRule="auto"/>
        <w:rPr>
          <w:rFonts w:ascii="맑은 고딕" w:eastAsia="맑은 고딕" w:hAnsi="맑은 고딕" w:hint="eastAsia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spacing w:line="240" w:lineRule="auto"/>
        <w:rPr>
          <w:rFonts w:ascii="맑은 고딕" w:eastAsia="맑은 고딕" w:hAnsi="맑은 고딕" w:hint="eastAsia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대출은 민원인에 대한 본인확인절차를 거쳐 체결된 계약으로,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민원인이 주장하는 제3자의 사기행위가 계약의 효력에 영향을 미치는지 여부나 채무의 존부에 대한 판단은 민법에 따른 채무부존재확인소송 등 사법절차를 통해 이루어져야 할 사안입니다.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이에 따라 당사는 민원인의 요청을 수용하기 어렵다는 점을 안내드립니다.</w:t>
      </w:r>
    </w:p>
    <w:p>
      <w:pPr>
        <w:ind w:leftChars="200" w:left="400" w:right="272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2026-04-21T07:58:56Z</dcterms:modified>
  <cp:lastPrinted>2026-02-02T04:40:00Z</cp:lastPrinted>
  <cp:version>1200.0100.01</cp:version>
</cp:coreProperties>
</file>