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rightChars="70" w:right="140"/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202667715</w:t>
      </w:r>
    </w:p>
    <w:p>
      <w:pPr>
        <w:ind w:rightChars="70" w:right="140"/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rightChars="70" w:right="140"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 w:rightChars="70" w:right="140" w:firstLineChars="13" w:firstLine="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ind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차량사고 및 대차과정에서 발생한 손해로 인해 차량을 매각하려 하였으나, 당사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근저당설정으로 매매가 불가능하였으며 근저당해지를 요청하였다는 주장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인천센터 및 채권추심위탁사(중앙신용정보) 담당자가 근저당해지 및 처리 관련하여 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지연·회피 또는 기망행위를 하였다는 주장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보험금수령이후 해당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금원을 입금하면 근저당을 해지해주겠다는 안내를 받았으나, 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이는 부당하거나 일관되지 않은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 라는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주장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금리(연 19.9%) 관련 채무조정요청을 지속적으로 하였으나 당사가 이를 고의적으</w:t>
      </w:r>
    </w:p>
    <w:p>
      <w:pPr>
        <w:pStyle w:val="a3"/>
        <w:ind w:rightChars="70" w:right="140"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로 거부하고 있다는 주장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근저당설정해지요청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본 건 계약은 2025.10.05 체결된 계약으로 대출원금 320만원, 기간 36개월, 금리 연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19.9% 조건으로 실행되었으며, 민원인 본인명의차량에 대해 근저당권이 설정된 사실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이 확인됩니다.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담보로 제공된 차량에 대한 근저당권은 채권확보를 위한 권리로서, 대출금전액상환 등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채무가 종결되는 경우에 해지되는 것이 원칙이며, 채무가 존속 중인 상태에서 근저당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권을 해지하는 것은 담보권보호취지에 부합하지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차량사고 및 매각관련 주장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민원인이 주장하는 차량사고, 대차, 폐차 및 매각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진행 등 일련의 과정은 민원인의 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량 운행 및 제3자(</w:t>
      </w:r>
      <w:r>
        <w:rPr>
          <w:lang w:eastAsia="ko-KR"/>
          <w:rFonts w:ascii="맑은 고딕" w:eastAsia="맑은 고딕" w:hAnsi="맑은 고딕" w:hint="eastAsia"/>
          <w:color w:val="auto"/>
          <w:rtl w:val="off"/>
        </w:rPr>
        <w:t>***</w:t>
      </w:r>
      <w:r>
        <w:rPr>
          <w:rFonts w:ascii="맑은 고딕" w:eastAsia="맑은 고딕" w:hAnsi="맑은 고딕" w:hint="eastAsia"/>
          <w:color w:val="auto"/>
        </w:rPr>
        <w:t xml:space="preserve">모터스)와의 거래과정에서 발생한 </w:t>
      </w:r>
      <w:r>
        <w:rPr>
          <w:rFonts w:ascii="맑은 고딕" w:eastAsia="맑은 고딕" w:hAnsi="맑은 고딕" w:hint="eastAsia"/>
          <w:color w:val="auto"/>
        </w:rPr>
        <w:t>사안입니다.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당사는 담보권설정채권자로서 해당 차량의 처분 시 사전 동의가 필요한 지위에 있으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며, 담보권이 존속하는 상태에서의 임의매각은 제한됩니다.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보험금입금관련 안내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담보차량의 사고 및 전손 등으로 보험금이 지급된 경우, 해당 보험금은 담보물의 가치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에 대한 대체적 성격을 가지므로 채권보전을 위해 채무상환에 충당될 수 있습니다.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이에 따라 보험금수령액을 채무상환에 반영하는 조건으로 담보권해지가능여부를 검토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하는 것은 담보권 관리 및 채권보전절차에 따른 정상적인 안내입니다.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응대지연 및 기망행위 주장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 및 채권추심위탁사(중앙신용정보)는 민원인의 요청사항에 대해 담보권해지요건,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채무상환필요성 등을 기준으로 안내를 진행하였으며, 고의적인 기망행위나 부당한 안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내 사실은 확인되지 않습니다.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⑤ 채무조정요청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 대출은 계약체결 당시 민원인의 신용도 및 내부심사기준에 따라 금리(연 19.9%)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가 산정되어 실행된 건으로, 이는 계약체결시점기준으로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산정된 조건입니다.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채무조정은 채무자의 상환능력, 연체 여부, 내부 기준 등을 종합적으로 고려하여 검토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되는 사항이며, 민원인의 요청만으로 자동 수용되는 구조가 아닙니다.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⑥ 연체 및 향후 절차 관련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현재 민원인은 2개월 </w:t>
      </w:r>
      <w:r>
        <w:rPr>
          <w:rFonts w:ascii="맑은 고딕" w:eastAsia="맑은 고딕" w:hAnsi="맑은 고딕" w:hint="eastAsia"/>
          <w:color w:val="auto"/>
        </w:rPr>
        <w:t xml:space="preserve">연체 </w:t>
      </w:r>
      <w:r>
        <w:rPr>
          <w:rFonts w:ascii="맑은 고딕" w:eastAsia="맑은 고딕" w:hAnsi="맑은 고딕" w:hint="eastAsia"/>
          <w:color w:val="auto"/>
        </w:rPr>
        <w:t>상태가</w:t>
      </w:r>
      <w:r>
        <w:rPr>
          <w:rFonts w:ascii="맑은 고딕" w:eastAsia="맑은 고딕" w:hAnsi="맑은 고딕" w:hint="eastAsia"/>
          <w:color w:val="auto"/>
        </w:rPr>
        <w:t xml:space="preserve"> 지속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중이며, 연체가 지속될 경우 약정 및 관련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법령에 따라 채권추심 절차가 진행될 수 있음을 안내 드립니다.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rightChars="70" w:right="14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rightChars="70" w:right="14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Chars="70" w:right="140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Chars="70" w:right="14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민원인이 요청한 근저당권 선해지 및 채무조정요구는 담보권유지원칙 및 내부심사 기준에 비추어 수용하기 어렵습니다.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다만, 민원인이 보험금 수령액 등을 활용하여 채무 </w:t>
      </w:r>
      <w:r>
        <w:rPr>
          <w:rFonts w:ascii="맑은 고딕" w:eastAsia="맑은 고딕" w:hAnsi="맑은 고딕" w:hint="eastAsia"/>
        </w:rPr>
        <w:t>일부 또는 전부를 상환할 경우, 그 범위 내에서 담보권 해지 여부를 검토할 수 있으며, 구체적인 상환방안에 대해서는 별도 협의를 통해 안내할 예정입니다.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Chars="70" w:right="140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Chars="70" w:right="140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2026-04-20T00:31:05Z</dcterms:modified>
  <cp:lastPrinted>2026-04-12T23:55:00Z</cp:lastPrinted>
  <cp:version>1200.0100.01</cp:version>
</cp:coreProperties>
</file>