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202661743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leftChars="200" w:left="400" w:firstLineChars="13" w:firstLine="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리스료 및 종료정산금을 모두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납부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하였음으로 추가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채무는 존재하지 않으며, 채권 추심은 부당하다는 주장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고려신용정보로부터 통보 받은 약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***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만원 채권에 대해 계약 및 사전고지사실이 없다는 주장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근거자료없이 신용상불이익을 언급하는 등 부당한 추심이 있었다는 주장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반환자동차평가금액 104만원은 차량 상태에 비추어 과도하다는 주장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① 리스료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완납 및 추가채무부존재 주장에 대한 의견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민원인은 </w:t>
      </w:r>
      <w:r>
        <w:rPr>
          <w:rFonts w:ascii="맑은 고딕" w:eastAsia="맑은 고딕" w:hAnsi="맑은 고딕"/>
          <w:color w:val="auto"/>
        </w:rPr>
        <w:t xml:space="preserve">2021.09.23. </w:t>
      </w:r>
      <w:r>
        <w:rPr>
          <w:rFonts w:ascii="맑은 고딕" w:eastAsia="맑은 고딕" w:hAnsi="맑은 고딕" w:hint="eastAsia"/>
          <w:color w:val="auto"/>
        </w:rPr>
        <w:t>당사와 오토운용리스(중고차)계약을 체결하였고,</w:t>
      </w:r>
      <w:r>
        <w:rPr>
          <w:rFonts w:ascii="맑은 고딕" w:eastAsia="맑은 고딕" w:hAnsi="맑은 고딕"/>
          <w:color w:val="auto"/>
        </w:rPr>
        <w:t xml:space="preserve"> 2025.12.08. </w:t>
      </w:r>
      <w:r>
        <w:rPr>
          <w:rFonts w:ascii="맑은 고딕" w:eastAsia="맑은 고딕" w:hAnsi="맑은 고딕" w:hint="eastAsia"/>
          <w:color w:val="auto"/>
        </w:rPr>
        <w:t>계약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기간 중 차량을 반납하였습니다.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리스계약상 차량반납 시에는 월리스료 및 중도해지수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수료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납부와는 별개로, 반환차량의 상태에 따라 원상복구비용 또는 가치감가금액이 정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산될 수 있습니다.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본 건의 경우 차량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입고 후 평가결과 원상복구가 필요한 항</w:t>
      </w:r>
      <w:r>
        <w:rPr>
          <w:rFonts w:ascii="맑은 고딕" w:eastAsia="맑은 고딕" w:hAnsi="맑은 고딕" w:hint="eastAsia"/>
          <w:color w:val="auto"/>
        </w:rPr>
        <w:t>목이 확인되었으나,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민원인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은 해당 금액의 납부를 거부</w:t>
      </w:r>
      <w:r>
        <w:rPr>
          <w:rFonts w:ascii="맑은 고딕" w:eastAsia="맑은 고딕" w:hAnsi="맑은 고딕" w:hint="eastAsia"/>
          <w:color w:val="auto"/>
        </w:rPr>
        <w:t>하여 리스</w:t>
      </w:r>
      <w:r>
        <w:rPr>
          <w:rFonts w:ascii="맑은 고딕" w:eastAsia="맑은 고딕" w:hAnsi="맑은 고딕" w:hint="eastAsia"/>
          <w:color w:val="auto"/>
        </w:rPr>
        <w:t>계약종</w:t>
      </w:r>
      <w:r>
        <w:rPr>
          <w:rFonts w:ascii="맑은 고딕" w:eastAsia="맑은 고딕" w:hAnsi="맑은 고딕" w:hint="eastAsia"/>
          <w:color w:val="auto"/>
        </w:rPr>
        <w:t xml:space="preserve">료와 관련된 </w:t>
      </w:r>
      <w:r>
        <w:rPr>
          <w:rFonts w:ascii="맑은 고딕" w:eastAsia="맑은 고딕" w:hAnsi="맑은 고딕" w:hint="eastAsia"/>
          <w:color w:val="auto"/>
        </w:rPr>
        <w:t>정산이 모두 완료된 상태는 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니었습니다.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② 882만원 채권</w:t>
      </w:r>
      <w:r>
        <w:rPr>
          <w:rFonts w:ascii="맑은 고딕" w:eastAsia="맑은 고딕" w:hAnsi="맑은 고딕" w:hint="eastAsia"/>
          <w:b/>
          <w:color w:val="auto"/>
        </w:rPr>
        <w:t xml:space="preserve"> 계약</w:t>
      </w:r>
      <w:r>
        <w:rPr>
          <w:rFonts w:ascii="맑은 고딕" w:eastAsia="맑은 고딕" w:hAnsi="맑은 고딕" w:hint="eastAsia"/>
          <w:b/>
          <w:color w:val="auto"/>
        </w:rPr>
        <w:t>에 대한 의견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본 건 </w:t>
      </w:r>
      <w:r>
        <w:rPr>
          <w:rFonts w:ascii="맑은 고딕" w:eastAsia="맑은 고딕" w:hAnsi="맑은 고딕"/>
          <w:color w:val="auto"/>
        </w:rPr>
        <w:t>8,823,056</w:t>
      </w:r>
      <w:r>
        <w:rPr>
          <w:rFonts w:ascii="맑은 고딕" w:eastAsia="맑은 고딕" w:hAnsi="맑은 고딕" w:hint="eastAsia"/>
          <w:color w:val="auto"/>
        </w:rPr>
        <w:t>원은 민원인이 별도로 새로운 계약을 체결하여 발생한 채권이 아니라,</w:t>
      </w:r>
      <w:r>
        <w:rPr>
          <w:rFonts w:ascii="맑은 고딕" w:eastAsia="맑은 고딕" w:hAnsi="맑은 고딕"/>
          <w:color w:val="auto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기존리스계약의 종료 과정에서 정상 해지가 이루어지지못하고 강제해지 절차로 전환되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는 과정에서 산출된 정산 채권입니다.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민원인이 반환자동차평가금액을 납부하지 않음에 따라 정상해지처리가 이루어지지 않았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고,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이에 따라 </w:t>
      </w:r>
      <w:r>
        <w:rPr>
          <w:rFonts w:ascii="맑은 고딕" w:eastAsia="맑은 고딕" w:hAnsi="맑은 고딕"/>
          <w:color w:val="auto"/>
        </w:rPr>
        <w:t xml:space="preserve">2025.12.26. </w:t>
      </w:r>
      <w:r>
        <w:rPr>
          <w:rFonts w:ascii="맑은 고딕" w:eastAsia="맑은 고딕" w:hAnsi="맑은 고딕" w:hint="eastAsia"/>
          <w:color w:val="auto"/>
        </w:rPr>
        <w:t xml:space="preserve">채권센터로 이관되어 강제해지절차가 진행되었습니다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강제해지의 경우 차량은 선물사 반납방식이 아니라 매각 절차를 통해 잔존가치금액을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정산하게 되므로,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차량매각</w:t>
      </w:r>
      <w:r>
        <w:rPr>
          <w:rFonts w:ascii="맑은 고딕" w:eastAsia="맑은 고딕" w:hAnsi="맑은 고딕" w:hint="eastAsia"/>
          <w:color w:val="auto"/>
        </w:rPr>
        <w:t>전까지는</w:t>
      </w:r>
      <w:r>
        <w:rPr>
          <w:rFonts w:ascii="맑은 고딕" w:eastAsia="맑은 고딕" w:hAnsi="맑은 고딕" w:hint="eastAsia"/>
          <w:color w:val="auto"/>
        </w:rPr>
        <w:t xml:space="preserve"> 잔존가치금액 등이 미정산채권(연체채권)으로 반영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됩니다.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③ 부당한 채권추심 주장에 대한 의견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당사는 미정산채권발생 이후 관련 법령 및 내부절차에 따라 고려신용정보에 채권관리를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위탁하였고,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고려신용정보는 이에 따라 수임사실 통지 및 추심예정안내를 진행한 것으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로 확인됩니다.</w:t>
      </w:r>
      <w:r>
        <w:rPr>
          <w:rFonts w:ascii="맑은 고딕" w:eastAsia="맑은 고딕" w:hAnsi="맑은 고딕"/>
          <w:color w:val="auto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다만,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민원인이 정상해지와 강제해지의 구조적 차이와 미정산</w:t>
      </w:r>
      <w:r>
        <w:rPr>
          <w:rFonts w:ascii="맑은 고딕" w:eastAsia="맑은 고딕" w:hAnsi="맑은 고딕" w:hint="eastAsia"/>
          <w:color w:val="auto"/>
        </w:rPr>
        <w:t>채권</w:t>
      </w:r>
      <w:r>
        <w:rPr>
          <w:rFonts w:ascii="맑은 고딕" w:eastAsia="맑은 고딕" w:hAnsi="맑은 고딕" w:hint="eastAsia"/>
          <w:color w:val="auto"/>
        </w:rPr>
        <w:t>이 산출된 사유를 충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분히 인지하지 못한 상태에서 </w:t>
      </w:r>
      <w:r>
        <w:rPr>
          <w:rFonts w:ascii="맑은 고딕" w:eastAsia="맑은 고딕" w:hAnsi="맑은 고딕" w:hint="eastAsia"/>
          <w:color w:val="auto"/>
        </w:rPr>
        <w:t>추심 안내를</w:t>
      </w:r>
      <w:r>
        <w:rPr>
          <w:rFonts w:ascii="맑은 고딕" w:eastAsia="맑은 고딕" w:hAnsi="맑은 고딕" w:hint="eastAsia"/>
          <w:color w:val="auto"/>
        </w:rPr>
        <w:t xml:space="preserve"> 받아,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별도의 신규 채무가 발생한것으로 오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인한 것으로</w:t>
      </w:r>
      <w:r>
        <w:rPr>
          <w:rFonts w:ascii="맑은 고딕" w:eastAsia="맑은 고딕" w:hAnsi="맑은 고딕" w:hint="eastAsia"/>
          <w:color w:val="auto"/>
        </w:rPr>
        <w:t xml:space="preserve"> 판단</w:t>
      </w:r>
      <w:r>
        <w:rPr>
          <w:rFonts w:ascii="맑은 고딕" w:eastAsia="맑은 고딕" w:hAnsi="맑은 고딕" w:hint="eastAsia"/>
          <w:color w:val="auto"/>
        </w:rPr>
        <w:t>되며,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향후 유사한 사안에서 종료정산구조와 채권발생사유가 보다 명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확히 안내될 수 있도록 관련 절차를 보완하겠습니다.</w:t>
      </w:r>
      <w:r>
        <w:rPr>
          <w:rFonts w:ascii="맑은 고딕" w:eastAsia="맑은 고딕" w:hAnsi="맑은 고딕"/>
          <w:color w:val="auto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④ 반환자동차 평가금액 104만원의 부당성 주장에 대한 의견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차량 반납 후 입고평가결과, 범퍼·도어·휀다·헤드</w:t>
      </w:r>
      <w:r>
        <w:rPr>
          <w:rFonts w:ascii="맑은 고딕" w:eastAsia="맑은 고딕" w:hAnsi="맑은 고딕" w:hint="eastAsia"/>
          <w:color w:val="auto"/>
        </w:rPr>
        <w:t xml:space="preserve">라이트 </w:t>
      </w:r>
      <w:r>
        <w:rPr>
          <w:rFonts w:ascii="맑은 고딕" w:eastAsia="맑은 고딕" w:hAnsi="맑은 고딕" w:hint="eastAsia"/>
          <w:color w:val="auto"/>
        </w:rPr>
        <w:t>등 다수 부위에서 원상복구가 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요한 손상이 확인되었습니다. 해당 금액은 부품비 및 공임 기준에 따른 객관적인 수리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견적을 바탕으로 산정된 </w:t>
      </w:r>
      <w:r>
        <w:rPr>
          <w:rFonts w:ascii="맑은 고딕" w:eastAsia="맑은 고딕" w:hAnsi="맑은 고딕" w:hint="eastAsia"/>
          <w:color w:val="auto"/>
        </w:rPr>
        <w:t>금액으로,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중고차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여부</w:t>
      </w:r>
      <w:r>
        <w:rPr>
          <w:rFonts w:ascii="맑은 고딕" w:eastAsia="맑은 고딕" w:hAnsi="맑은 고딕" w:hint="eastAsia"/>
          <w:color w:val="auto"/>
        </w:rPr>
        <w:t xml:space="preserve"> /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주행거리 미달</w:t>
      </w:r>
      <w:r>
        <w:rPr>
          <w:rFonts w:ascii="맑은 고딕" w:eastAsia="맑은 고딕" w:hAnsi="맑은 고딕" w:hint="eastAsia"/>
          <w:color w:val="auto"/>
        </w:rPr>
        <w:t xml:space="preserve"> / </w:t>
      </w:r>
      <w:r>
        <w:rPr>
          <w:rFonts w:ascii="맑은 고딕" w:eastAsia="맑은 고딕" w:hAnsi="맑은 고딕" w:hint="eastAsia"/>
          <w:color w:val="auto"/>
        </w:rPr>
        <w:t>배터리 교체 등의 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정은 차량이용조건에 관한 사항으로, 반납시점손상에 따른 원상복구비용 발생 여부와는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별개의 사항입니다.</w:t>
      </w:r>
    </w:p>
    <w:p>
      <w:pPr>
        <w:pStyle w:val="a3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건은 민원인이 별도의 신규금융채무를 부담한 사안이 아니라,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리스계약종료과정에서 반환자동차평가금액 미납으로 정상 해지가 이루어지지 못하고 강제해지절차로 전환되면서 미정산채권이 산출된 사안입니다.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이울러 </w:t>
      </w:r>
      <w:r>
        <w:rPr>
          <w:rFonts w:ascii="맑은 고딕" w:eastAsia="맑은 고딕" w:hAnsi="맑은 고딕" w:hint="eastAsia"/>
        </w:rPr>
        <w:t xml:space="preserve">미납된 반환자동차평가금액은 </w:t>
      </w:r>
      <w:r>
        <w:rPr>
          <w:rFonts w:ascii="맑은 고딕" w:eastAsia="맑은 고딕" w:hAnsi="맑은 고딕" w:hint="eastAsia"/>
        </w:rPr>
        <w:t>당사는 회수 실익 및 비용 등을 종합적으로 검</w:t>
      </w:r>
      <w:r>
        <w:rPr>
          <w:rFonts w:ascii="맑은 고딕" w:eastAsia="맑은 고딕" w:hAnsi="맑은 고딕" w:hint="eastAsia"/>
        </w:rPr>
        <w:t>토한 결과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추가</w:t>
      </w:r>
      <w:r>
        <w:rPr>
          <w:rFonts w:ascii="맑은 고딕" w:eastAsia="맑은 고딕" w:hAnsi="맑은 고딕" w:hint="eastAsia"/>
        </w:rPr>
        <w:t>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회수조치를 </w:t>
      </w:r>
      <w:r>
        <w:rPr>
          <w:rFonts w:ascii="맑은 고딕" w:eastAsia="맑은 고딕" w:hAnsi="맑은 고딕" w:hint="eastAsia"/>
        </w:rPr>
        <w:t xml:space="preserve">진행하지 않기로 </w:t>
      </w:r>
      <w:r>
        <w:rPr>
          <w:rFonts w:ascii="맑은 고딕" w:eastAsia="맑은 고딕" w:hAnsi="맑은 고딕" w:hint="eastAsia"/>
        </w:rPr>
        <w:t>결정하</w:t>
      </w:r>
      <w:r>
        <w:rPr>
          <w:rFonts w:ascii="맑은 고딕" w:eastAsia="맑은 고딕" w:hAnsi="맑은 고딕" w:hint="eastAsia"/>
        </w:rPr>
        <w:t>였으며,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민원인에게 신용상 불이익 등 추가적인 영향 발생 가능성도 없는 상태입니다.</w:t>
      </w:r>
    </w:p>
    <w:p>
      <w:pPr>
        <w:ind w:leftChars="200" w:left="400" w:right="272"/>
        <w:snapToGrid w:val="0"/>
        <w:textAlignment w:val="baseline"/>
        <w:rPr>
          <w:rFonts w:ascii="맑은 고딕" w:eastAsia="맑은 고딕" w:hAnsi="맑은 고딕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2026-04-20T00:34:07Z</dcterms:modified>
  <cp:lastPrinted>2026-03-29T23:55:00Z</cp:lastPrinted>
  <cp:version>1200.0100.01</cp:version>
</cp:coreProperties>
</file>