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0DC53">
      <w:pPr>
        <w:jc w:val="center"/>
        <w:rPr>
          <w:rFonts w:hint="eastAsia" w:ascii="Times New Roman" w:hAnsi="Times New Roman" w:eastAsia="隶书" w:cs="Times New Roman"/>
          <w:b/>
          <w:bCs/>
          <w:sz w:val="36"/>
          <w:szCs w:val="24"/>
          <w14:ligatures w14:val="none"/>
        </w:rPr>
      </w:pPr>
      <w:r>
        <w:rPr>
          <w:rFonts w:hint="eastAsia" w:ascii="Times New Roman" w:hAnsi="Times New Roman" w:eastAsia="隶书" w:cs="Times New Roman"/>
          <w:b/>
          <w:bCs/>
          <w:sz w:val="36"/>
          <w:szCs w:val="24"/>
          <w14:ligatures w14:val="none"/>
        </w:rPr>
        <w:t>南 京 师 范 大 学</w:t>
      </w:r>
    </w:p>
    <w:p w14:paraId="02D10200">
      <w:pPr>
        <w:jc w:val="center"/>
        <w:rPr>
          <w:rFonts w:hint="eastAsia" w:ascii="Times New Roman" w:hAnsi="Times New Roman" w:eastAsia="隶书" w:cs="Times New Roman"/>
          <w:b/>
          <w:bCs/>
          <w:sz w:val="44"/>
          <w:szCs w:val="24"/>
          <w14:ligatures w14:val="none"/>
        </w:rPr>
      </w:pPr>
      <w:r>
        <w:rPr>
          <w:rFonts w:hint="eastAsia" w:ascii="Times New Roman" w:hAnsi="Times New Roman" w:eastAsia="隶书" w:cs="Times New Roman"/>
          <w:b/>
          <w:bCs/>
          <w:sz w:val="36"/>
          <w:szCs w:val="24"/>
          <w14:ligatures w14:val="none"/>
        </w:rPr>
        <w:t>研 究 生 课 程 学 习 考 试 成 绩 单</w:t>
      </w:r>
    </w:p>
    <w:p w14:paraId="1CB6B93F">
      <w:pPr>
        <w:jc w:val="center"/>
        <w:rPr>
          <w:rFonts w:hint="eastAsia" w:ascii="Times New Roman" w:hAnsi="Times New Roman" w:eastAsia="宋体" w:cs="Times New Roman"/>
          <w:sz w:val="30"/>
          <w:szCs w:val="24"/>
          <w14:ligatures w14:val="none"/>
        </w:rPr>
      </w:pPr>
      <w:r>
        <w:rPr>
          <w:rFonts w:hint="eastAsia" w:ascii="Times New Roman" w:hAnsi="Times New Roman" w:eastAsia="隶书" w:cs="Times New Roman"/>
          <w:b/>
          <w:bCs/>
          <w:sz w:val="30"/>
          <w:szCs w:val="24"/>
          <w14:ligatures w14:val="none"/>
        </w:rPr>
        <w:t>（试卷封面）</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2357"/>
        <w:gridCol w:w="1596"/>
        <w:gridCol w:w="915"/>
        <w:gridCol w:w="900"/>
        <w:gridCol w:w="1026"/>
      </w:tblGrid>
      <w:tr w14:paraId="3845B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728" w:type="dxa"/>
            <w:noWrap w:val="0"/>
            <w:vAlign w:val="center"/>
          </w:tcPr>
          <w:p w14:paraId="25B9A020">
            <w:pPr>
              <w:ind w:firstLine="236" w:firstLineChars="98"/>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 xml:space="preserve">学  院 </w:t>
            </w:r>
          </w:p>
        </w:tc>
        <w:tc>
          <w:tcPr>
            <w:tcW w:w="2357" w:type="dxa"/>
            <w:noWrap w:val="0"/>
            <w:vAlign w:val="center"/>
          </w:tcPr>
          <w:p w14:paraId="15A4D5F7">
            <w:pPr>
              <w:jc w:val="center"/>
              <w:rPr>
                <w:rFonts w:hint="default"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心理学院</w:t>
            </w:r>
          </w:p>
        </w:tc>
        <w:tc>
          <w:tcPr>
            <w:tcW w:w="1596" w:type="dxa"/>
            <w:noWrap w:val="0"/>
            <w:vAlign w:val="center"/>
          </w:tcPr>
          <w:p w14:paraId="775AFE22">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专 业</w:t>
            </w:r>
          </w:p>
        </w:tc>
        <w:tc>
          <w:tcPr>
            <w:tcW w:w="2841" w:type="dxa"/>
            <w:gridSpan w:val="3"/>
            <w:noWrap w:val="0"/>
            <w:vAlign w:val="center"/>
          </w:tcPr>
          <w:p w14:paraId="7B110B9B">
            <w:pPr>
              <w:jc w:val="center"/>
              <w:rPr>
                <w:rFonts w:hint="default"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心理学</w:t>
            </w:r>
          </w:p>
        </w:tc>
      </w:tr>
      <w:tr w14:paraId="6655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728" w:type="dxa"/>
            <w:noWrap w:val="0"/>
            <w:vAlign w:val="center"/>
          </w:tcPr>
          <w:p w14:paraId="3B8E437F">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研究生姓名</w:t>
            </w:r>
          </w:p>
        </w:tc>
        <w:tc>
          <w:tcPr>
            <w:tcW w:w="2357" w:type="dxa"/>
            <w:noWrap w:val="0"/>
            <w:vAlign w:val="center"/>
          </w:tcPr>
          <w:p w14:paraId="50DB08CC">
            <w:pPr>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金晓慧</w:t>
            </w:r>
          </w:p>
        </w:tc>
        <w:tc>
          <w:tcPr>
            <w:tcW w:w="1596" w:type="dxa"/>
            <w:noWrap w:val="0"/>
            <w:vAlign w:val="center"/>
          </w:tcPr>
          <w:p w14:paraId="56ED69A8">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学 号</w:t>
            </w:r>
          </w:p>
        </w:tc>
        <w:tc>
          <w:tcPr>
            <w:tcW w:w="2841" w:type="dxa"/>
            <w:gridSpan w:val="3"/>
            <w:noWrap w:val="0"/>
            <w:vAlign w:val="center"/>
          </w:tcPr>
          <w:p w14:paraId="28ED5E62">
            <w:pPr>
              <w:jc w:val="center"/>
              <w:rPr>
                <w:rFonts w:hint="default"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252302006</w:t>
            </w:r>
          </w:p>
        </w:tc>
      </w:tr>
      <w:tr w14:paraId="41D5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1728" w:type="dxa"/>
            <w:noWrap w:val="0"/>
            <w:vAlign w:val="center"/>
          </w:tcPr>
          <w:p w14:paraId="1D59A653">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课 程 名 称</w:t>
            </w:r>
          </w:p>
        </w:tc>
        <w:tc>
          <w:tcPr>
            <w:tcW w:w="6794" w:type="dxa"/>
            <w:gridSpan w:val="5"/>
            <w:noWrap w:val="0"/>
            <w:vAlign w:val="center"/>
          </w:tcPr>
          <w:p w14:paraId="4CE762FB">
            <w:pPr>
              <w:jc w:val="center"/>
              <w:rPr>
                <w:rFonts w:hint="default" w:ascii="Times New Roman" w:hAnsi="Times New Roman" w:eastAsia="宋体" w:cs="Times New Roman"/>
                <w:b/>
                <w:bCs/>
                <w:sz w:val="24"/>
                <w:szCs w:val="24"/>
                <w:lang w:val="en-US" w:eastAsia="zh-CN"/>
                <w14:ligatures w14:val="none"/>
              </w:rPr>
            </w:pPr>
            <w:r>
              <w:rPr>
                <w:rFonts w:hint="default" w:ascii="Times New Roman" w:hAnsi="Times New Roman" w:eastAsia="宋体" w:cs="Times New Roman"/>
                <w:b/>
                <w:bCs/>
                <w:sz w:val="24"/>
                <w:szCs w:val="24"/>
                <w:lang w:val="en-US" w:eastAsia="zh-CN"/>
                <w14:ligatures w14:val="none"/>
              </w:rPr>
              <w:t>R语言及其在心理学研究中的应用</w:t>
            </w:r>
          </w:p>
        </w:tc>
      </w:tr>
      <w:tr w14:paraId="7A02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728" w:type="dxa"/>
            <w:noWrap w:val="0"/>
            <w:vAlign w:val="center"/>
          </w:tcPr>
          <w:p w14:paraId="3ACB89C6">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授 课 时 间</w:t>
            </w:r>
          </w:p>
        </w:tc>
        <w:tc>
          <w:tcPr>
            <w:tcW w:w="2357" w:type="dxa"/>
            <w:noWrap w:val="0"/>
            <w:vAlign w:val="center"/>
          </w:tcPr>
          <w:p w14:paraId="45C738EF">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lang w:val="en-US" w:eastAsia="zh-CN"/>
                <w14:ligatures w14:val="none"/>
              </w:rPr>
              <w:t>2025-2026</w:t>
            </w:r>
            <w:r>
              <w:rPr>
                <w:rFonts w:hint="eastAsia" w:ascii="Times New Roman" w:hAnsi="Times New Roman" w:eastAsia="宋体" w:cs="Times New Roman"/>
                <w:b/>
                <w:bCs/>
                <w:sz w:val="24"/>
                <w:szCs w:val="24"/>
                <w14:ligatures w14:val="none"/>
              </w:rPr>
              <w:t xml:space="preserve"> 学年度  </w:t>
            </w:r>
            <w:r>
              <w:rPr>
                <w:rFonts w:hint="eastAsia" w:ascii="Times New Roman" w:hAnsi="Times New Roman" w:eastAsia="宋体" w:cs="Times New Roman"/>
                <w:b/>
                <w:bCs/>
                <w:sz w:val="24"/>
                <w:szCs w:val="24"/>
                <w:lang w:val="en-US" w:eastAsia="zh-CN"/>
                <w14:ligatures w14:val="none"/>
              </w:rPr>
              <w:t>第二</w:t>
            </w:r>
            <w:r>
              <w:rPr>
                <w:rFonts w:hint="eastAsia" w:ascii="Times New Roman" w:hAnsi="Times New Roman" w:eastAsia="宋体" w:cs="Times New Roman"/>
                <w:b/>
                <w:bCs/>
                <w:sz w:val="24"/>
                <w:szCs w:val="24"/>
                <w14:ligatures w14:val="none"/>
              </w:rPr>
              <w:t>学期</w:t>
            </w:r>
          </w:p>
        </w:tc>
        <w:tc>
          <w:tcPr>
            <w:tcW w:w="1596" w:type="dxa"/>
            <w:noWrap w:val="0"/>
            <w:vAlign w:val="center"/>
          </w:tcPr>
          <w:p w14:paraId="1742CE71">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周学时</w:t>
            </w:r>
          </w:p>
        </w:tc>
        <w:tc>
          <w:tcPr>
            <w:tcW w:w="915" w:type="dxa"/>
            <w:noWrap w:val="0"/>
            <w:vAlign w:val="center"/>
          </w:tcPr>
          <w:p w14:paraId="547B4642">
            <w:pPr>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3</w:t>
            </w:r>
          </w:p>
        </w:tc>
        <w:tc>
          <w:tcPr>
            <w:tcW w:w="900" w:type="dxa"/>
            <w:noWrap w:val="0"/>
            <w:vAlign w:val="center"/>
          </w:tcPr>
          <w:p w14:paraId="50ED57BD">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学分</w:t>
            </w:r>
          </w:p>
        </w:tc>
        <w:tc>
          <w:tcPr>
            <w:tcW w:w="1026" w:type="dxa"/>
            <w:noWrap w:val="0"/>
            <w:vAlign w:val="center"/>
          </w:tcPr>
          <w:p w14:paraId="37F1B858">
            <w:pPr>
              <w:jc w:val="center"/>
              <w:rPr>
                <w:rFonts w:hint="eastAsia" w:ascii="Times New Roman" w:hAnsi="Times New Roman" w:eastAsia="宋体" w:cs="Times New Roman"/>
                <w:b/>
                <w:bCs/>
                <w:sz w:val="24"/>
                <w:szCs w:val="24"/>
                <w:lang w:val="en-US" w:eastAsia="zh-CN"/>
                <w14:ligatures w14:val="none"/>
              </w:rPr>
            </w:pPr>
            <w:r>
              <w:rPr>
                <w:rFonts w:hint="eastAsia" w:ascii="Times New Roman" w:hAnsi="Times New Roman" w:eastAsia="宋体" w:cs="Times New Roman"/>
                <w:b/>
                <w:bCs/>
                <w:sz w:val="24"/>
                <w:szCs w:val="24"/>
                <w:lang w:val="en-US" w:eastAsia="zh-CN"/>
                <w14:ligatures w14:val="none"/>
              </w:rPr>
              <w:t>3</w:t>
            </w:r>
          </w:p>
        </w:tc>
      </w:tr>
      <w:tr w14:paraId="3854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41" w:hRule="atLeast"/>
        </w:trPr>
        <w:tc>
          <w:tcPr>
            <w:tcW w:w="1728" w:type="dxa"/>
            <w:noWrap w:val="0"/>
            <w:vAlign w:val="center"/>
          </w:tcPr>
          <w:p w14:paraId="41CBF592">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简</w:t>
            </w:r>
          </w:p>
          <w:p w14:paraId="769323B6">
            <w:pPr>
              <w:jc w:val="center"/>
              <w:rPr>
                <w:rFonts w:hint="eastAsia" w:ascii="Times New Roman" w:hAnsi="Times New Roman" w:eastAsia="宋体" w:cs="Times New Roman"/>
                <w:b/>
                <w:bCs/>
                <w:sz w:val="24"/>
                <w:szCs w:val="24"/>
                <w14:ligatures w14:val="none"/>
              </w:rPr>
            </w:pPr>
          </w:p>
          <w:p w14:paraId="22F75526">
            <w:pPr>
              <w:jc w:val="center"/>
              <w:rPr>
                <w:rFonts w:hint="eastAsia" w:ascii="Times New Roman" w:hAnsi="Times New Roman" w:eastAsia="宋体" w:cs="Times New Roman"/>
                <w:b/>
                <w:bCs/>
                <w:sz w:val="24"/>
                <w:szCs w:val="24"/>
                <w14:ligatures w14:val="none"/>
              </w:rPr>
            </w:pPr>
          </w:p>
          <w:p w14:paraId="04A2B57C">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要</w:t>
            </w:r>
          </w:p>
          <w:p w14:paraId="7A49AA0F">
            <w:pPr>
              <w:jc w:val="center"/>
              <w:rPr>
                <w:rFonts w:hint="eastAsia" w:ascii="Times New Roman" w:hAnsi="Times New Roman" w:eastAsia="宋体" w:cs="Times New Roman"/>
                <w:b/>
                <w:bCs/>
                <w:sz w:val="24"/>
                <w:szCs w:val="24"/>
                <w14:ligatures w14:val="none"/>
              </w:rPr>
            </w:pPr>
          </w:p>
          <w:p w14:paraId="06374A9D">
            <w:pPr>
              <w:jc w:val="center"/>
              <w:rPr>
                <w:rFonts w:hint="eastAsia" w:ascii="Times New Roman" w:hAnsi="Times New Roman" w:eastAsia="宋体" w:cs="Times New Roman"/>
                <w:b/>
                <w:bCs/>
                <w:sz w:val="24"/>
                <w:szCs w:val="24"/>
                <w14:ligatures w14:val="none"/>
              </w:rPr>
            </w:pPr>
          </w:p>
          <w:p w14:paraId="76808928">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评</w:t>
            </w:r>
          </w:p>
          <w:p w14:paraId="04D205DF">
            <w:pPr>
              <w:jc w:val="center"/>
              <w:rPr>
                <w:rFonts w:hint="eastAsia" w:ascii="Times New Roman" w:hAnsi="Times New Roman" w:eastAsia="宋体" w:cs="Times New Roman"/>
                <w:b/>
                <w:bCs/>
                <w:sz w:val="24"/>
                <w:szCs w:val="24"/>
                <w14:ligatures w14:val="none"/>
              </w:rPr>
            </w:pPr>
          </w:p>
          <w:p w14:paraId="5E095F82">
            <w:pPr>
              <w:jc w:val="center"/>
              <w:rPr>
                <w:rFonts w:hint="eastAsia" w:ascii="Times New Roman" w:hAnsi="Times New Roman" w:eastAsia="宋体" w:cs="Times New Roman"/>
                <w:b/>
                <w:bCs/>
                <w:sz w:val="24"/>
                <w:szCs w:val="24"/>
                <w14:ligatures w14:val="none"/>
              </w:rPr>
            </w:pPr>
          </w:p>
          <w:p w14:paraId="1EB36183">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语</w:t>
            </w:r>
          </w:p>
        </w:tc>
        <w:tc>
          <w:tcPr>
            <w:tcW w:w="6794" w:type="dxa"/>
            <w:gridSpan w:val="5"/>
            <w:noWrap w:val="0"/>
            <w:vAlign w:val="center"/>
          </w:tcPr>
          <w:p w14:paraId="7CFC8628">
            <w:pPr>
              <w:jc w:val="center"/>
              <w:rPr>
                <w:rFonts w:ascii="Times New Roman" w:hAnsi="Times New Roman" w:eastAsia="宋体" w:cs="Times New Roman"/>
                <w:b/>
                <w:bCs/>
                <w:sz w:val="24"/>
                <w:szCs w:val="24"/>
                <w14:ligatures w14:val="none"/>
              </w:rPr>
            </w:pPr>
          </w:p>
        </w:tc>
      </w:tr>
      <w:tr w14:paraId="564F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4" w:hRule="atLeast"/>
        </w:trPr>
        <w:tc>
          <w:tcPr>
            <w:tcW w:w="1728" w:type="dxa"/>
            <w:noWrap w:val="0"/>
            <w:vAlign w:val="center"/>
          </w:tcPr>
          <w:p w14:paraId="2B7F7D43">
            <w:pPr>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考 核 论 题</w:t>
            </w:r>
          </w:p>
        </w:tc>
        <w:tc>
          <w:tcPr>
            <w:tcW w:w="6794" w:type="dxa"/>
            <w:gridSpan w:val="5"/>
            <w:noWrap w:val="0"/>
            <w:vAlign w:val="center"/>
          </w:tcPr>
          <w:p w14:paraId="7955799F">
            <w:pPr>
              <w:jc w:val="center"/>
              <w:rPr>
                <w:rFonts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对</w:t>
            </w:r>
            <w:r>
              <w:rPr>
                <w:rFonts w:hint="eastAsia" w:ascii="Times New Roman" w:hAnsi="Times New Roman" w:eastAsia="宋体" w:cs="Times New Roman"/>
                <w:b/>
                <w:bCs/>
                <w:sz w:val="24"/>
                <w:szCs w:val="24"/>
                <w:lang w:val="en-US" w:eastAsia="zh-CN"/>
                <w14:ligatures w14:val="none"/>
              </w:rPr>
              <w:t xml:space="preserve">Lin et al., </w:t>
            </w:r>
            <w:r>
              <w:rPr>
                <w:rFonts w:hint="eastAsia" w:ascii="Times New Roman" w:hAnsi="Times New Roman" w:eastAsia="宋体" w:cs="Times New Roman"/>
                <w:b/>
                <w:bCs/>
                <w:sz w:val="24"/>
                <w:szCs w:val="24"/>
                <w14:ligatures w14:val="none"/>
              </w:rPr>
              <w:t>(</w:t>
            </w:r>
            <w:r>
              <w:rPr>
                <w:rFonts w:hint="eastAsia" w:ascii="Times New Roman" w:hAnsi="Times New Roman" w:eastAsia="宋体" w:cs="Times New Roman"/>
                <w:b/>
                <w:bCs/>
                <w:sz w:val="24"/>
                <w:szCs w:val="24"/>
                <w:lang w:val="en-US" w:eastAsia="zh-CN"/>
                <w14:ligatures w14:val="none"/>
              </w:rPr>
              <w:t>2020</w:t>
            </w:r>
            <w:r>
              <w:rPr>
                <w:rFonts w:hint="eastAsia" w:ascii="Times New Roman" w:hAnsi="Times New Roman" w:eastAsia="宋体" w:cs="Times New Roman"/>
                <w:b/>
                <w:bCs/>
                <w:sz w:val="24"/>
                <w:szCs w:val="24"/>
                <w14:ligatures w14:val="none"/>
              </w:rPr>
              <w:t>)研究结果的计算可复现性检验</w:t>
            </w:r>
          </w:p>
        </w:tc>
      </w:tr>
      <w:tr w14:paraId="3DE2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0" w:hRule="atLeast"/>
        </w:trPr>
        <w:tc>
          <w:tcPr>
            <w:tcW w:w="1728" w:type="dxa"/>
            <w:noWrap w:val="0"/>
            <w:vAlign w:val="center"/>
          </w:tcPr>
          <w:p w14:paraId="6E2445EA">
            <w:pPr>
              <w:ind w:firstLine="241" w:firstLineChars="100"/>
              <w:jc w:val="center"/>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总评成绩</w:t>
            </w:r>
          </w:p>
          <w:p w14:paraId="0451A3D9">
            <w:pPr>
              <w:jc w:val="center"/>
              <w:rPr>
                <w:rFonts w:hint="eastAsia" w:ascii="Times New Roman" w:hAnsi="Times New Roman" w:eastAsia="宋体" w:cs="Times New Roman"/>
                <w:b/>
                <w:bCs/>
                <w:szCs w:val="21"/>
                <w14:ligatures w14:val="none"/>
              </w:rPr>
            </w:pPr>
            <w:r>
              <w:rPr>
                <w:rFonts w:hint="eastAsia" w:ascii="Times New Roman" w:hAnsi="Times New Roman" w:eastAsia="宋体" w:cs="Times New Roman"/>
                <w:b/>
                <w:bCs/>
                <w:szCs w:val="21"/>
                <w14:ligatures w14:val="none"/>
              </w:rPr>
              <w:t>（含平时成绩）</w:t>
            </w:r>
          </w:p>
        </w:tc>
        <w:tc>
          <w:tcPr>
            <w:tcW w:w="6794" w:type="dxa"/>
            <w:gridSpan w:val="5"/>
            <w:noWrap w:val="0"/>
            <w:vAlign w:val="center"/>
          </w:tcPr>
          <w:p w14:paraId="03FAB43F">
            <w:pPr>
              <w:jc w:val="center"/>
              <w:rPr>
                <w:rFonts w:ascii="Times New Roman" w:hAnsi="Times New Roman" w:eastAsia="宋体" w:cs="Times New Roman"/>
                <w:b/>
                <w:bCs/>
                <w:sz w:val="24"/>
                <w:szCs w:val="24"/>
                <w14:ligatures w14:val="none"/>
              </w:rPr>
            </w:pPr>
          </w:p>
        </w:tc>
      </w:tr>
      <w:tr w14:paraId="0B9D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728" w:type="dxa"/>
            <w:noWrap w:val="0"/>
            <w:vAlign w:val="center"/>
          </w:tcPr>
          <w:p w14:paraId="3FDC995B">
            <w:pPr>
              <w:ind w:firstLine="482" w:firstLineChars="200"/>
              <w:rPr>
                <w:rFonts w:hint="eastAsia" w:ascii="Times New Roman" w:hAnsi="Times New Roman" w:eastAsia="宋体" w:cs="Times New Roman"/>
                <w:b/>
                <w:bCs/>
                <w:sz w:val="24"/>
                <w:szCs w:val="24"/>
                <w14:ligatures w14:val="none"/>
              </w:rPr>
            </w:pPr>
            <w:r>
              <w:rPr>
                <w:rFonts w:hint="eastAsia" w:ascii="Times New Roman" w:hAnsi="Times New Roman" w:eastAsia="宋体" w:cs="Times New Roman"/>
                <w:b/>
                <w:bCs/>
                <w:sz w:val="24"/>
                <w:szCs w:val="24"/>
                <w14:ligatures w14:val="none"/>
              </w:rPr>
              <w:t>备注</w:t>
            </w:r>
          </w:p>
        </w:tc>
        <w:tc>
          <w:tcPr>
            <w:tcW w:w="6794" w:type="dxa"/>
            <w:gridSpan w:val="5"/>
            <w:noWrap w:val="0"/>
            <w:vAlign w:val="top"/>
          </w:tcPr>
          <w:p w14:paraId="3CB42535">
            <w:pPr>
              <w:widowControl/>
              <w:jc w:val="left"/>
              <w:rPr>
                <w:rFonts w:ascii="Times New Roman" w:hAnsi="Times New Roman" w:eastAsia="宋体" w:cs="Times New Roman"/>
                <w:b/>
                <w:bCs/>
                <w:sz w:val="24"/>
                <w:szCs w:val="24"/>
                <w14:ligatures w14:val="none"/>
              </w:rPr>
            </w:pPr>
          </w:p>
          <w:p w14:paraId="685B6336">
            <w:pPr>
              <w:ind w:left="2742"/>
              <w:rPr>
                <w:rFonts w:hint="eastAsia" w:ascii="Times New Roman" w:hAnsi="Times New Roman" w:eastAsia="宋体" w:cs="Times New Roman"/>
                <w:b/>
                <w:bCs/>
                <w:sz w:val="24"/>
                <w:szCs w:val="24"/>
                <w14:ligatures w14:val="none"/>
              </w:rPr>
            </w:pPr>
          </w:p>
        </w:tc>
      </w:tr>
    </w:tbl>
    <w:p w14:paraId="17774DB3">
      <w:pPr>
        <w:ind w:firstLine="1054" w:firstLineChars="500"/>
        <w:rPr>
          <w:rFonts w:hint="eastAsia" w:ascii="Times New Roman" w:hAnsi="Times New Roman" w:eastAsia="宋体" w:cs="Times New Roman"/>
          <w:b/>
          <w:bCs/>
          <w:szCs w:val="24"/>
          <w14:ligatures w14:val="none"/>
        </w:rPr>
      </w:pPr>
    </w:p>
    <w:p w14:paraId="1AAC64DF">
      <w:pPr>
        <w:ind w:firstLine="5230" w:firstLineChars="2481"/>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任课教师签名：                             </w:t>
      </w:r>
    </w:p>
    <w:p w14:paraId="5C699A39">
      <w:pPr>
        <w:ind w:firstLine="1054" w:firstLineChars="5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 xml:space="preserve">                                        批 改 日 期：</w:t>
      </w:r>
    </w:p>
    <w:p w14:paraId="0B5211E4">
      <w:pP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注：</w:t>
      </w:r>
    </w:p>
    <w:p w14:paraId="408C2C4E">
      <w:pP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1、以撰写论文为考核形式的，填写此表，综合考试不填；</w:t>
      </w:r>
    </w:p>
    <w:p w14:paraId="73647F1F">
      <w:pP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2、本成绩单由研究生填写基本内容，任课教师填写评语、成绩，签名后与作业（试卷）一并送院研究生秘书处；</w:t>
      </w:r>
    </w:p>
    <w:p w14:paraId="70EE3502">
      <w:pPr>
        <w:rPr>
          <w:rFonts w:hint="eastAsia" w:ascii="Times New Roman" w:hAnsi="Times New Roman" w:eastAsia="宋体" w:cs="Times New Roman"/>
          <w:b/>
          <w:bCs/>
          <w:sz w:val="32"/>
          <w:szCs w:val="32"/>
          <w14:ligatures w14:val="none"/>
        </w:rPr>
      </w:pPr>
      <w:r>
        <w:rPr>
          <w:rFonts w:hint="eastAsia" w:ascii="Times New Roman" w:hAnsi="Times New Roman" w:eastAsia="宋体" w:cs="Times New Roman"/>
          <w:szCs w:val="24"/>
          <w14:ligatures w14:val="none"/>
        </w:rPr>
        <w:t>3、学位课总评成绩须以百分制记分。</w:t>
      </w:r>
    </w:p>
    <w:p w14:paraId="17B85D08">
      <w:pPr>
        <w:spacing w:line="480" w:lineRule="auto"/>
        <w:jc w:val="center"/>
        <w:rPr>
          <w:rFonts w:hint="eastAsia" w:ascii="Times New Roman" w:hAnsi="Times New Roman" w:eastAsia="宋体" w:cs="Times New Roman"/>
          <w:b/>
          <w:bCs/>
          <w:sz w:val="32"/>
          <w:szCs w:val="32"/>
          <w14:ligatures w14:val="none"/>
        </w:rPr>
      </w:pPr>
      <w:r>
        <w:rPr>
          <w:rFonts w:hint="eastAsia" w:ascii="Times New Roman" w:hAnsi="Times New Roman" w:eastAsia="宋体" w:cs="Times New Roman"/>
          <w:b/>
          <w:bCs/>
          <w:sz w:val="32"/>
          <w:szCs w:val="32"/>
          <w14:ligatures w14:val="none"/>
        </w:rPr>
        <w:t>对</w:t>
      </w:r>
      <w:r>
        <w:rPr>
          <w:rFonts w:hint="eastAsia" w:ascii="Times New Roman" w:hAnsi="Times New Roman" w:eastAsia="宋体" w:cs="Times New Roman"/>
          <w:b/>
          <w:bCs/>
          <w:sz w:val="32"/>
          <w:szCs w:val="32"/>
          <w:lang w:val="en-US" w:eastAsia="zh-CN"/>
          <w14:ligatures w14:val="none"/>
        </w:rPr>
        <w:t xml:space="preserve">Lin et al., </w:t>
      </w:r>
      <w:r>
        <w:rPr>
          <w:rFonts w:hint="eastAsia" w:ascii="Times New Roman" w:hAnsi="Times New Roman" w:eastAsia="宋体" w:cs="Times New Roman"/>
          <w:b/>
          <w:bCs/>
          <w:i/>
          <w:iCs/>
          <w:sz w:val="32"/>
          <w:szCs w:val="32"/>
          <w14:ligatures w14:val="none"/>
        </w:rPr>
        <w:t>(</w:t>
      </w:r>
      <w:r>
        <w:rPr>
          <w:rFonts w:hint="eastAsia" w:ascii="Times New Roman" w:hAnsi="Times New Roman" w:eastAsia="宋体" w:cs="Times New Roman"/>
          <w:b/>
          <w:bCs/>
          <w:i/>
          <w:iCs/>
          <w:sz w:val="32"/>
          <w:szCs w:val="32"/>
          <w:lang w:val="en-US" w:eastAsia="zh-CN"/>
          <w14:ligatures w14:val="none"/>
        </w:rPr>
        <w:t>2020</w:t>
      </w:r>
      <w:r>
        <w:rPr>
          <w:rFonts w:hint="eastAsia" w:ascii="Times New Roman" w:hAnsi="Times New Roman" w:eastAsia="宋体" w:cs="Times New Roman"/>
          <w:b/>
          <w:bCs/>
          <w:i/>
          <w:iCs/>
          <w:sz w:val="32"/>
          <w:szCs w:val="32"/>
          <w14:ligatures w14:val="none"/>
        </w:rPr>
        <w:t>)</w:t>
      </w:r>
      <w:r>
        <w:rPr>
          <w:rFonts w:hint="eastAsia" w:ascii="Times New Roman" w:hAnsi="Times New Roman" w:eastAsia="宋体" w:cs="Times New Roman"/>
          <w:b/>
          <w:bCs/>
          <w:sz w:val="32"/>
          <w:szCs w:val="32"/>
          <w14:ligatures w14:val="none"/>
        </w:rPr>
        <w:t>研究结果的计算可复现性检验</w:t>
      </w:r>
    </w:p>
    <w:p w14:paraId="64479314">
      <w:pPr>
        <w:spacing w:line="480" w:lineRule="auto"/>
        <w:jc w:val="center"/>
        <w:rPr>
          <w:rFonts w:hint="eastAsia" w:ascii="Times New Roman" w:hAnsi="Times New Roman" w:eastAsia="宋体" w:cs="Times New Roman"/>
          <w:b/>
          <w:bCs/>
          <w:sz w:val="32"/>
          <w:szCs w:val="32"/>
          <w14:ligatures w14:val="none"/>
        </w:rPr>
      </w:pPr>
    </w:p>
    <w:p w14:paraId="4834E4F0">
      <w:pPr>
        <w:spacing w:line="360" w:lineRule="auto"/>
        <w:jc w:val="left"/>
        <w:rPr>
          <w:rFonts w:hint="eastAsia"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 xml:space="preserve">：本研究对 Lin 等人（2020）关于认知努力与决策谨慎性的研究进行了计算可复现性检验。原研究通过四个预注册实验探讨高认知负荷是否会影响个体后续冲突任务中的决策策略，并利用漂移扩散模型（Drift Diffusion Model, DDM）将行为表现分解为潜在认知过程。本文复现原研究关于“高认知负荷降低决策边界（boundary）”的核心假设。研究使用作者公开的数据与分析代码，对四个独立研究分别建立两层贝叶斯层级模型，并进一步构建整合全部研究的三层贝叶斯层级模型，采用桥采样（bridge sampling）计算贝叶斯因子，对完整模型与零模型进行比较。结果表明，四个研究中条件效应方向均与原文一致，均表现为高认知负荷降低决策边界；在整合分析中，复现得到的总体效应为 </w:t>
      </w:r>
      <w:r>
        <w:rPr>
          <w:rFonts w:hint="default" w:ascii="Times New Roman" w:hAnsi="Times New Roman" w:eastAsia="宋体" w:cs="Times New Roman"/>
          <w:i/>
          <w:iCs/>
          <w:szCs w:val="21"/>
          <w14:ligatures w14:val="none"/>
        </w:rPr>
        <w:t>b</w:t>
      </w:r>
      <w:r>
        <w:rPr>
          <w:rFonts w:hint="default" w:ascii="Times New Roman" w:hAnsi="Times New Roman" w:eastAsia="宋体" w:cs="Times New Roman"/>
          <w:szCs w:val="21"/>
          <w14:ligatures w14:val="none"/>
        </w:rPr>
        <w:t xml:space="preserve"> = −0.004，95% HPD = [−0.005, −0.002]，BF = 38.61</w:t>
      </w:r>
      <w:r>
        <w:rPr>
          <w:rFonts w:hint="eastAsia" w:ascii="Times New Roman" w:hAnsi="Times New Roman" w:eastAsia="宋体" w:cs="Times New Roman"/>
          <w:szCs w:val="21"/>
          <w14:ligatures w14:val="none"/>
        </w:rPr>
        <w:t>，与原文报告结果（BF = 29.10）高度一致。虽然模型出现少量发散采样警告，但主要参数均表现出良好的收敛性。总体而言，本研究成功复现了原研究的主要统计结果，表明该研究具有较好的计算可复现性，也进一步支持认知努力主要通过降低反应谨慎性而非损害信息加工能力来影响行为表现的观点。</w:t>
      </w:r>
    </w:p>
    <w:p w14:paraId="5E2318B9">
      <w:pPr>
        <w:spacing w:line="360" w:lineRule="auto"/>
        <w:jc w:val="left"/>
        <w:rPr>
          <w:rFonts w:hint="eastAsia"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关键词：计算可复现性；贝叶斯层级模型；漂移扩散模型；决策边界；认知努力</w:t>
      </w:r>
    </w:p>
    <w:p w14:paraId="35DC7F8B">
      <w:pPr>
        <w:spacing w:line="36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749ABD3D">
      <w:pPr>
        <w:spacing w:line="360" w:lineRule="auto"/>
        <w:contextualSpacing/>
        <w:rPr>
          <w:rFonts w:ascii="Times New Roman" w:hAnsi="Times New Roman" w:eastAsia="宋体" w:cs="Times New Roman"/>
          <w:b/>
          <w:bCs/>
          <w:sz w:val="18"/>
          <w:szCs w:val="18"/>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D72">
      <w:pPr>
        <w:spacing w:line="300" w:lineRule="auto"/>
        <w:jc w:val="center"/>
        <w:rPr>
          <w:rFonts w:ascii="Times New Roman" w:hAnsi="Times New Roman" w:eastAsia="宋体" w:cs="Times New Roman"/>
          <w:b/>
          <w:bCs/>
          <w:sz w:val="18"/>
          <w:szCs w:val="18"/>
          <w14:ligatures w14:val="none"/>
        </w:rPr>
      </w:pPr>
      <w:r>
        <w:rPr>
          <w:rFonts w:ascii="Times New Roman" w:hAnsi="Times New Roman" w:eastAsia="宋体" w:cs="Times New Roman"/>
          <w:b/>
          <w:bCs/>
          <w:sz w:val="18"/>
          <w:szCs w:val="18"/>
          <w14:ligatures w14:val="none"/>
        </w:rPr>
        <w:t xml:space="preserve">表 </w:t>
      </w:r>
      <w:r>
        <w:rPr>
          <w:rFonts w:hint="eastAsia" w:ascii="Times New Roman" w:hAnsi="Times New Roman" w:eastAsia="宋体" w:cs="Times New Roman"/>
          <w:b/>
          <w:bCs/>
          <w:sz w:val="18"/>
          <w:szCs w:val="18"/>
          <w14:ligatures w14:val="none"/>
        </w:rPr>
        <w:t>1</w:t>
      </w:r>
      <w:r>
        <w:rPr>
          <w:rFonts w:ascii="Times New Roman" w:hAnsi="Times New Roman" w:eastAsia="宋体" w:cs="Times New Roman"/>
          <w:b/>
          <w:bCs/>
          <w:sz w:val="18"/>
          <w:szCs w:val="18"/>
          <w14:ligatures w14:val="none"/>
        </w:rPr>
        <w:t xml:space="preserve"> </w:t>
      </w:r>
      <w:r>
        <w:rPr>
          <w:rFonts w:hint="eastAsia" w:ascii="Times New Roman" w:hAnsi="Times New Roman" w:eastAsia="宋体" w:cs="Times New Roman"/>
          <w:b/>
          <w:bCs/>
          <w:sz w:val="18"/>
          <w:szCs w:val="18"/>
          <w14:ligatures w14:val="none"/>
        </w:rPr>
        <w:t>文献信息表</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9"/>
        <w:gridCol w:w="2129"/>
        <w:gridCol w:w="2136"/>
      </w:tblGrid>
      <w:tr w14:paraId="35DC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Pr>
          <w:p w14:paraId="35DC7D73">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b/>
                <w:bCs/>
                <w:sz w:val="18"/>
                <w:szCs w:val="18"/>
              </w:rPr>
            </w:pPr>
            <w:r>
              <w:rPr>
                <w:rFonts w:ascii="Times New Roman" w:hAnsi="Times New Roman" w:eastAsia="宋体" w:cs="Times New Roman"/>
                <w:b/>
                <w:bCs/>
                <w:sz w:val="18"/>
                <w:szCs w:val="18"/>
              </w:rPr>
              <w:t>1 文献基本信息</w:t>
            </w:r>
          </w:p>
        </w:tc>
      </w:tr>
      <w:tr w14:paraId="35DC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5DC7D75">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所选文献</w:t>
            </w:r>
          </w:p>
        </w:tc>
        <w:tc>
          <w:tcPr>
            <w:tcW w:w="3750" w:type="pct"/>
            <w:gridSpan w:val="3"/>
          </w:tcPr>
          <w:p w14:paraId="35DC7D76">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Lin, H., Saunders, B., Friese, M., Evans, N. J., &amp; Inzlicht, M. (2020). Strong effort manipulations reduce response caution: A preregistered reinvention of the ego-depletion paradigm.</w:t>
            </w:r>
            <w:r>
              <w:rPr>
                <w:rFonts w:hint="default" w:ascii="Times New Roman" w:hAnsi="Times New Roman" w:eastAsia="宋体" w:cs="Times New Roman"/>
                <w:sz w:val="18"/>
                <w:szCs w:val="18"/>
              </w:rPr>
              <w:t> Psychological science, 31(5), 531-547.</w:t>
            </w:r>
          </w:p>
        </w:tc>
      </w:tr>
      <w:tr w14:paraId="35DC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5DC7D78">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数据来源</w:t>
            </w:r>
          </w:p>
        </w:tc>
        <w:tc>
          <w:tcPr>
            <w:tcW w:w="3750" w:type="pct"/>
            <w:gridSpan w:val="3"/>
          </w:tcPr>
          <w:p w14:paraId="35DC7D79">
            <w:pPr>
              <w:keepNext w:val="0"/>
              <w:keepLines w:val="0"/>
              <w:pageBreakBefore w:val="0"/>
              <w:widowControl w:val="0"/>
              <w:tabs>
                <w:tab w:val="left" w:pos="5282"/>
              </w:tabs>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18"/>
                <w:szCs w:val="18"/>
                <w:lang w:eastAsia="zh-CN"/>
              </w:rPr>
            </w:pPr>
            <w:r>
              <w:rPr>
                <w:rFonts w:hint="eastAsia" w:ascii="Times New Roman" w:hAnsi="Times New Roman" w:eastAsia="宋体" w:cs="Times New Roman"/>
                <w:color w:val="auto"/>
                <w:sz w:val="18"/>
                <w:szCs w:val="18"/>
                <w:u w:val="none"/>
              </w:rPr>
              <w:t>https://github.com/hauselin/depletion_bayes.git</w:t>
            </w:r>
            <w:r>
              <w:rPr>
                <w:rFonts w:hint="eastAsia" w:ascii="Times New Roman" w:hAnsi="Times New Roman" w:eastAsia="宋体" w:cs="Times New Roman"/>
                <w:sz w:val="18"/>
                <w:szCs w:val="18"/>
                <w:lang w:val="en-US" w:eastAsia="zh-CN"/>
              </w:rPr>
              <w:t xml:space="preserve"> </w:t>
            </w:r>
          </w:p>
        </w:tc>
      </w:tr>
      <w:tr w14:paraId="35DC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Pr>
          <w:p w14:paraId="35DC7D7B">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b/>
                <w:bCs/>
                <w:sz w:val="18"/>
                <w:szCs w:val="18"/>
              </w:rPr>
            </w:pPr>
            <w:r>
              <w:rPr>
                <w:rFonts w:ascii="Times New Roman" w:hAnsi="Times New Roman" w:eastAsia="宋体" w:cs="Times New Roman"/>
                <w:b/>
                <w:bCs/>
                <w:sz w:val="18"/>
                <w:szCs w:val="18"/>
              </w:rPr>
              <w:t>2 文献选取</w:t>
            </w:r>
          </w:p>
        </w:tc>
      </w:tr>
      <w:tr w14:paraId="35DC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5DC7D7D">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1249" w:type="pct"/>
          </w:tcPr>
          <w:p w14:paraId="35DC7D7E">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ascii="Times New Roman" w:hAnsi="Times New Roman" w:eastAsia="宋体" w:cs="Times New Roman"/>
                <w:sz w:val="13"/>
                <w:szCs w:val="13"/>
              </w:rPr>
              <w:t>包含元分析研究</w:t>
            </w:r>
          </w:p>
          <w:p w14:paraId="35DC7D7F">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ascii="Times New Roman" w:hAnsi="Times New Roman" w:eastAsia="宋体" w:cs="Times New Roman"/>
                <w:sz w:val="13"/>
                <w:szCs w:val="13"/>
              </w:rPr>
              <w:t>不包含元分析研究</w:t>
            </w:r>
          </w:p>
          <w:p w14:paraId="35DC7D80">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ascii="Times New Roman" w:hAnsi="Times New Roman" w:eastAsia="宋体" w:cs="Times New Roman"/>
                <w:sz w:val="13"/>
                <w:szCs w:val="13"/>
              </w:rPr>
              <w:t>否</w:t>
            </w:r>
          </w:p>
        </w:tc>
        <w:tc>
          <w:tcPr>
            <w:tcW w:w="1249" w:type="pct"/>
          </w:tcPr>
          <w:p w14:paraId="35DC7D81">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1250" w:type="pct"/>
          </w:tcPr>
          <w:p w14:paraId="35DC7D82">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ascii="Times New Roman" w:hAnsi="Times New Roman" w:eastAsia="宋体" w:cs="Times New Roman"/>
                <w:sz w:val="13"/>
                <w:szCs w:val="13"/>
              </w:rPr>
              <w:t xml:space="preserve">是(附上原文链接) </w:t>
            </w:r>
          </w:p>
          <w:p w14:paraId="35DC7D83">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ascii="Times New Roman" w:hAnsi="Times New Roman" w:eastAsia="宋体" w:cs="Times New Roman"/>
                <w:sz w:val="13"/>
                <w:szCs w:val="13"/>
              </w:rPr>
              <w:t>否</w:t>
            </w:r>
          </w:p>
        </w:tc>
      </w:tr>
      <w:tr w14:paraId="35DC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Pr>
          <w:p w14:paraId="35DC7D85">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5DC7D87">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3750" w:type="pct"/>
            <w:gridSpan w:val="3"/>
          </w:tcPr>
          <w:p w14:paraId="35DC7D88">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hint="eastAsia" w:ascii="Times New Roman" w:hAnsi="Times New Roman" w:eastAsia="宋体" w:cs="Times New Roman"/>
                <w:sz w:val="18"/>
                <w:szCs w:val="18"/>
              </w:rPr>
              <w:t>在控制 Stroop 一致性条件后，高认知负荷条件相比低认知负荷条件会表现出更低的决策边界（boundary），反映出参与者在完成高认知负荷任务后反应更加不谨慎。</w:t>
            </w:r>
          </w:p>
        </w:tc>
      </w:tr>
      <w:tr w14:paraId="35DC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5DC7D8A">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1249" w:type="pct"/>
          </w:tcPr>
          <w:p w14:paraId="35DC7D8B">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ascii="Times New Roman" w:hAnsi="Times New Roman" w:eastAsia="宋体" w:cs="Times New Roman"/>
                <w:sz w:val="13"/>
                <w:szCs w:val="13"/>
              </w:rPr>
              <w:t xml:space="preserve">是(附上原文链接) </w:t>
            </w:r>
          </w:p>
          <w:p w14:paraId="35DC7D8C">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ascii="Times New Roman" w:hAnsi="Times New Roman" w:eastAsia="宋体" w:cs="Times New Roman"/>
                <w:sz w:val="13"/>
                <w:szCs w:val="13"/>
              </w:rPr>
              <w:t>否</w:t>
            </w:r>
          </w:p>
        </w:tc>
        <w:tc>
          <w:tcPr>
            <w:tcW w:w="1249" w:type="pct"/>
          </w:tcPr>
          <w:p w14:paraId="35DC7D8D">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1250" w:type="pct"/>
          </w:tcPr>
          <w:p w14:paraId="35DC7D8E">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文献共包含4个</w:t>
            </w:r>
            <w:r>
              <w:rPr>
                <w:rFonts w:hint="eastAsia" w:ascii="Times New Roman" w:hAnsi="Times New Roman" w:eastAsia="宋体" w:cs="Times New Roman"/>
                <w:sz w:val="18"/>
                <w:szCs w:val="18"/>
                <w:lang w:val="en-US" w:eastAsia="zh-CN"/>
              </w:rPr>
              <w:t>预注册</w:t>
            </w:r>
            <w:r>
              <w:rPr>
                <w:rFonts w:ascii="Times New Roman" w:hAnsi="Times New Roman" w:eastAsia="宋体" w:cs="Times New Roman"/>
                <w:sz w:val="18"/>
                <w:szCs w:val="18"/>
              </w:rPr>
              <w:t>实验，本研究选择重复</w:t>
            </w:r>
            <w:r>
              <w:rPr>
                <w:rFonts w:hint="eastAsia" w:ascii="Times New Roman" w:hAnsi="Times New Roman" w:eastAsia="宋体" w:cs="Times New Roman"/>
                <w:sz w:val="18"/>
                <w:szCs w:val="18"/>
                <w:lang w:val="en-US" w:eastAsia="zh-CN"/>
              </w:rPr>
              <w:t>文献的核心假设</w:t>
            </w:r>
            <w:r>
              <w:rPr>
                <w:rFonts w:ascii="Times New Roman" w:hAnsi="Times New Roman" w:eastAsia="宋体" w:cs="Times New Roman"/>
                <w:sz w:val="18"/>
                <w:szCs w:val="18"/>
              </w:rPr>
              <w:t>。</w:t>
            </w:r>
          </w:p>
        </w:tc>
      </w:tr>
      <w:tr w14:paraId="35DC7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5DC7D90">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3750" w:type="pct"/>
            <w:gridSpan w:val="3"/>
          </w:tcPr>
          <w:p w14:paraId="35DC7D9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18"/>
                <w:szCs w:val="18"/>
                <w:lang w:eastAsia="zh-CN"/>
              </w:rPr>
            </w:pPr>
          </w:p>
        </w:tc>
      </w:tr>
      <w:tr w14:paraId="35DC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tcPr>
          <w:p w14:paraId="35DC7D93">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5DC7D95">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1249" w:type="pct"/>
          </w:tcPr>
          <w:p w14:paraId="35DC7D96">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ascii="Times New Roman" w:hAnsi="Times New Roman" w:eastAsia="宋体" w:cs="Times New Roman"/>
                <w:sz w:val="13"/>
                <w:szCs w:val="13"/>
              </w:rPr>
              <w:t>是</w:t>
            </w:r>
          </w:p>
          <w:p w14:paraId="35DC7D97">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hint="eastAsia" w:ascii="Times New Roman" w:hAnsi="Times New Roman" w:eastAsia="宋体" w:cs="Times New Roman"/>
                <w:sz w:val="13"/>
                <w:szCs w:val="13"/>
              </w:rPr>
              <w:t>否</w:t>
            </w:r>
          </w:p>
        </w:tc>
        <w:tc>
          <w:tcPr>
            <w:tcW w:w="1249" w:type="pct"/>
          </w:tcPr>
          <w:p w14:paraId="35DC7D98">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1250" w:type="pct"/>
          </w:tcPr>
          <w:p w14:paraId="35DC7D99">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D9A">
            <w:pPr>
              <w:pStyle w:val="11"/>
              <w:keepNext w:val="0"/>
              <w:keepLines w:val="0"/>
              <w:pageBreakBefore w:val="0"/>
              <w:widowControl w:val="0"/>
              <w:numPr>
                <w:ilvl w:val="0"/>
                <w:numId w:val="0"/>
              </w:numPr>
              <w:kinsoku/>
              <w:wordWrap/>
              <w:overflowPunct/>
              <w:topLinePunct w:val="0"/>
              <w:autoSpaceDE/>
              <w:autoSpaceDN/>
              <w:bidi w:val="0"/>
              <w:adjustRightInd/>
              <w:snapToGrid/>
              <w:spacing w:line="300" w:lineRule="auto"/>
              <w:ind w:left="360" w:leftChars="0" w:hanging="360" w:firstLineChars="0"/>
              <w:jc w:val="left"/>
              <w:textAlignment w:val="auto"/>
              <w:rPr>
                <w:rFonts w:ascii="Times New Roman" w:hAnsi="Times New Roman" w:eastAsia="宋体" w:cs="Times New Roman"/>
                <w:sz w:val="13"/>
                <w:szCs w:val="13"/>
              </w:rPr>
            </w:pPr>
            <w:r>
              <w:rPr>
                <w:rFonts w:hint="eastAsia" w:ascii="Times New Roman" w:hAnsi="Times New Roman" w:eastAsia="宋体" w:cs="Times New Roman"/>
                <w:kern w:val="2"/>
                <w:sz w:val="13"/>
                <w:szCs w:val="13"/>
                <w:lang w:val="en-US" w:eastAsia="zh-CN" w:bidi="ar-SA"/>
                <w14:ligatures w14:val="standardContextual"/>
              </w:rPr>
              <w:t>☑</w:t>
            </w:r>
            <w:r>
              <w:rPr>
                <w:rFonts w:hint="eastAsia" w:ascii="Times New Roman" w:hAnsi="Times New Roman" w:eastAsia="宋体" w:cs="Times New Roman"/>
                <w:sz w:val="13"/>
                <w:szCs w:val="13"/>
              </w:rPr>
              <w:t>否</w:t>
            </w:r>
          </w:p>
        </w:tc>
      </w:tr>
      <w:tr w14:paraId="35DC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5DC7D9C">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1249" w:type="pct"/>
          </w:tcPr>
          <w:p w14:paraId="35DC7D9D">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p>
        </w:tc>
        <w:tc>
          <w:tcPr>
            <w:tcW w:w="1249" w:type="pct"/>
          </w:tcPr>
          <w:p w14:paraId="35DC7D9E">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1250" w:type="pct"/>
          </w:tcPr>
          <w:p w14:paraId="35DC7D9F">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z w:val="18"/>
                <w:szCs w:val="18"/>
              </w:rPr>
            </w:pPr>
          </w:p>
        </w:tc>
      </w:tr>
    </w:tbl>
    <w:p w14:paraId="0C820E19">
      <w:pPr>
        <w:spacing w:line="360" w:lineRule="auto"/>
        <w:rPr>
          <w:rFonts w:ascii="Times New Roman" w:hAnsi="Times New Roman" w:eastAsia="宋体" w:cs="Times New Roman"/>
        </w:rPr>
      </w:pPr>
    </w:p>
    <w:p w14:paraId="35DC7FBD">
      <w:pPr>
        <w:spacing w:line="36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7A0F31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sz w:val="21"/>
        </w:rPr>
      </w:pPr>
      <w:r>
        <w:rPr>
          <w:rFonts w:hint="eastAsia" w:ascii="Times New Roman" w:hAnsi="Times New Roman" w:eastAsia="宋体" w:cs="Times New Roman"/>
          <w:sz w:val="21"/>
        </w:rPr>
        <w:t>该研究主要探讨高认知努力是否会影响个</w:t>
      </w:r>
      <w:r>
        <w:rPr>
          <w:rFonts w:hint="eastAsia" w:ascii="Times New Roman" w:hAnsi="Times New Roman" w:eastAsia="宋体" w:cs="Times New Roman"/>
          <w:sz w:val="21"/>
          <w:lang w:eastAsia="zh-CN"/>
        </w:rPr>
        <w:t>体在</w:t>
      </w:r>
      <w:r>
        <w:rPr>
          <w:rFonts w:hint="eastAsia" w:ascii="Times New Roman" w:hAnsi="Times New Roman" w:eastAsia="宋体" w:cs="Times New Roman"/>
          <w:sz w:val="21"/>
        </w:rPr>
        <w:t>后续任务中的决策方式。传统的“自我损耗理论”认为，人在完成高认知负荷任务后，其认知控制能力会下降，从而导致后续任务表现变差。然而，近年来越来越多研究开始质疑这一理论，认为认知努力后的行为变化可能并非源于认知能力下降，而是源于个体决策策略的改变。基于这一观点，原研究提出：高认知负荷任务可能会降低个体在后续任务中的“决策谨慎性”，使其更快、更冲动地作出反应，而不是降低其真实的信息加工能力。</w:t>
      </w:r>
    </w:p>
    <w:p w14:paraId="01F5D8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sz w:val="21"/>
        </w:rPr>
      </w:pPr>
      <w:r>
        <w:rPr>
          <w:rFonts w:hint="eastAsia" w:ascii="Times New Roman" w:hAnsi="Times New Roman" w:eastAsia="宋体" w:cs="Times New Roman"/>
          <w:sz w:val="21"/>
        </w:rPr>
        <w:t>原研究共包含四个预注册研究（</w:t>
      </w:r>
      <w:r>
        <w:rPr>
          <w:rFonts w:hint="default" w:ascii="Times New Roman" w:hAnsi="Times New Roman" w:eastAsia="宋体" w:cs="Times New Roman"/>
          <w:sz w:val="21"/>
        </w:rPr>
        <w:t>Study1–4</w:t>
      </w:r>
      <w:r>
        <w:rPr>
          <w:rFonts w:hint="eastAsia" w:ascii="Times New Roman" w:hAnsi="Times New Roman" w:eastAsia="宋体" w:cs="Times New Roman"/>
          <w:sz w:val="21"/>
        </w:rPr>
        <w:t>），分别在实验室和在线环境中检验认知努力对后续决策行为的影响。研究者通过高负荷符号计数任务诱发强烈的努力感和疲劳感，并在随后采用Stroop任务测量行为表现。为了进一步揭示潜在认知机制，作者使用EZ-diffusion model估计决策边界（boundary）、漂移率（drift rate）和非决策时间等参数。本研究复现原文关于决策边界的核心结论，即高认知负荷条件会降低决策边界</w:t>
      </w:r>
      <w:bookmarkStart w:id="0" w:name="_GoBack"/>
      <w:bookmarkEnd w:id="0"/>
      <w:r>
        <w:rPr>
          <w:rFonts w:hint="eastAsia" w:ascii="Times New Roman" w:hAnsi="Times New Roman" w:eastAsia="宋体" w:cs="Times New Roman"/>
          <w:sz w:val="21"/>
        </w:rPr>
        <w:t>，表现为参与者在后续任务中采取更加快速但不够谨慎的决策策略。</w:t>
      </w:r>
    </w:p>
    <w:p w14:paraId="7B13AC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rPr>
      </w:pPr>
      <w:r>
        <w:rPr>
          <w:rFonts w:hint="eastAsia" w:ascii="Times New Roman" w:hAnsi="Times New Roman" w:eastAsia="宋体" w:cs="Times New Roman"/>
          <w:sz w:val="21"/>
        </w:rPr>
        <w:t>研究结果表明，高认知负荷条件下参与者的决策边界整体呈下降趋势，说明认知努力会</w:t>
      </w:r>
      <w:r>
        <w:rPr>
          <w:rFonts w:hint="eastAsia" w:ascii="Times New Roman" w:hAnsi="Times New Roman" w:eastAsia="宋体" w:cs="Times New Roman"/>
        </w:rPr>
        <w:t>影响个体的决策策略。此外，研究发现认知努力对信息加工效率的影响并不稳定，因此作者认为</w:t>
      </w:r>
      <w:r>
        <w:rPr>
          <w:rFonts w:hint="eastAsia" w:ascii="Times New Roman" w:hAnsi="Times New Roman" w:eastAsia="宋体" w:cs="Times New Roman"/>
          <w:lang w:eastAsia="zh-CN"/>
        </w:rPr>
        <w:t>，</w:t>
      </w:r>
      <w:r>
        <w:rPr>
          <w:rFonts w:hint="eastAsia" w:ascii="Times New Roman" w:hAnsi="Times New Roman" w:eastAsia="宋体" w:cs="Times New Roman"/>
        </w:rPr>
        <w:t>高认知负荷后的行为变化更可能来源于决策谨慎性的下降，而非认知控制能力本身的损伤。总体而言，该研究为重新理解“自我损耗效应”提供了新的理论解释，也展示了扩散决策模型在认知心理学研究中的应用价值。</w:t>
      </w:r>
    </w:p>
    <w:p w14:paraId="35DC7FB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b/>
          <w:bCs/>
          <w:sz w:val="21"/>
          <w:szCs w:val="21"/>
          <w14:ligatures w14:val="none"/>
        </w:rPr>
      </w:pPr>
      <w:r>
        <w:rPr>
          <w:rFonts w:hint="eastAsia" w:ascii="Times New Roman" w:hAnsi="Times New Roman" w:eastAsia="宋体" w:cs="Times New Roman"/>
          <w:b/>
          <w:bCs/>
          <w:sz w:val="21"/>
          <w:szCs w:val="21"/>
          <w14:ligatures w14:val="none"/>
        </w:rPr>
        <w:t>2.1 样本</w:t>
      </w:r>
    </w:p>
    <w:p w14:paraId="3B0A95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val="0"/>
          <w:bCs w:val="0"/>
          <w:szCs w:val="24"/>
          <w14:ligatures w14:val="none"/>
        </w:rPr>
      </w:pPr>
      <w:r>
        <w:rPr>
          <w:rFonts w:ascii="Times New Roman" w:hAnsi="Times New Roman" w:eastAsia="宋体" w:cs="Times New Roman"/>
          <w:b w:val="0"/>
          <w:bCs w:val="0"/>
          <w:szCs w:val="24"/>
          <w14:ligatures w14:val="none"/>
        </w:rPr>
        <w:t>本研究使用原文公开的数据集进行计算可复现性检验，数据来源于作者公开的开放科学框架（Open Science Framework, OSF）平台。原研究共包含四个独立实验（Study 1–4），</w:t>
      </w:r>
      <w:r>
        <w:rPr>
          <w:rFonts w:hint="eastAsia" w:ascii="Times New Roman" w:hAnsi="Times New Roman" w:eastAsia="宋体" w:cs="Times New Roman"/>
          <w:b w:val="0"/>
          <w:bCs w:val="0"/>
          <w:szCs w:val="24"/>
          <w:lang w:val="en-US" w:eastAsia="zh-CN"/>
          <w14:ligatures w14:val="none"/>
        </w:rPr>
        <w:t>均</w:t>
      </w:r>
      <w:r>
        <w:rPr>
          <w:rFonts w:ascii="Times New Roman" w:hAnsi="Times New Roman" w:eastAsia="宋体" w:cs="Times New Roman"/>
          <w:b w:val="0"/>
          <w:bCs w:val="0"/>
          <w:szCs w:val="24"/>
          <w14:ligatures w14:val="none"/>
        </w:rPr>
        <w:t>采用</w:t>
      </w:r>
      <w:r>
        <w:rPr>
          <w:rFonts w:hint="eastAsia" w:ascii="Times New Roman" w:hAnsi="Times New Roman" w:eastAsia="宋体" w:cs="Times New Roman"/>
          <w:b w:val="0"/>
          <w:bCs w:val="0"/>
          <w:szCs w:val="24"/>
          <w:lang w:val="en-US" w:eastAsia="zh-CN"/>
          <w14:ligatures w14:val="none"/>
        </w:rPr>
        <w:t>被试内设计</w:t>
      </w:r>
      <w:r>
        <w:rPr>
          <w:rFonts w:hint="eastAsia" w:ascii="Times New Roman" w:hAnsi="Times New Roman" w:eastAsia="宋体" w:cs="Times New Roman"/>
          <w:b w:val="0"/>
          <w:bCs w:val="0"/>
          <w:szCs w:val="24"/>
          <w14:ligatures w14:val="none"/>
        </w:rPr>
        <w:t>考察认知努力对后续决策行为的影响。</w:t>
      </w:r>
    </w:p>
    <w:p w14:paraId="59A5C4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val="0"/>
          <w:bCs w:val="0"/>
          <w:szCs w:val="24"/>
          <w14:ligatures w14:val="none"/>
        </w:rPr>
      </w:pPr>
      <w:r>
        <w:rPr>
          <w:rFonts w:hint="eastAsia" w:ascii="Times New Roman" w:hAnsi="Times New Roman" w:eastAsia="宋体" w:cs="Times New Roman"/>
          <w:b w:val="0"/>
          <w:bCs w:val="0"/>
          <w:szCs w:val="24"/>
          <w14:ligatures w14:val="none"/>
        </w:rPr>
        <w:t>原研究在数据清理后共纳入686名参与者。其中，Study 1包含253名大学生（平均年龄18.80岁），Study 2包含132名大学生（平均年龄18.80岁），Study 3包含180名 Amazon Mechanical Turk（MTurk）参与者（平均年龄34.90岁），Study 4包含121名 MTurk 参与者（平均年龄39.50岁</w:t>
      </w:r>
      <w:r>
        <w:rPr>
          <w:rFonts w:hint="eastAsia" w:ascii="Times New Roman" w:hAnsi="Times New Roman" w:eastAsia="宋体" w:cs="Times New Roman"/>
          <w:b w:val="0"/>
          <w:bCs w:val="0"/>
          <w:szCs w:val="24"/>
          <w:lang w:eastAsia="zh-CN"/>
          <w14:ligatures w14:val="none"/>
        </w:rPr>
        <w:t>，</w:t>
      </w:r>
      <w:r>
        <w:rPr>
          <w:rFonts w:hint="eastAsia" w:ascii="Times New Roman" w:hAnsi="Times New Roman" w:eastAsia="宋体" w:cs="Times New Roman"/>
          <w:b w:val="0"/>
          <w:bCs w:val="0"/>
          <w:szCs w:val="24"/>
          <w14:ligatures w14:val="none"/>
        </w:rPr>
        <w:t xml:space="preserve">预注册信息见 </w:t>
      </w:r>
      <w:r>
        <w:rPr>
          <w:rFonts w:hint="eastAsia" w:ascii="Times New Roman" w:hAnsi="Times New Roman" w:eastAsia="宋体" w:cs="Times New Roman"/>
          <w:b w:val="0"/>
          <w:bCs w:val="0"/>
          <w:szCs w:val="24"/>
          <w:lang w:val="en-US" w:eastAsia="zh-CN"/>
          <w14:ligatures w14:val="none"/>
        </w:rPr>
        <w:t>https://osf.io/hhn3s/</w:t>
      </w:r>
      <w:r>
        <w:rPr>
          <w:rFonts w:hint="eastAsia" w:ascii="Times New Roman" w:hAnsi="Times New Roman" w:eastAsia="宋体" w:cs="Times New Roman"/>
          <w:b w:val="0"/>
          <w:bCs w:val="0"/>
          <w:szCs w:val="24"/>
          <w14:ligatures w14:val="none"/>
        </w:rPr>
        <w:t>）。Study 1和Study 2在实验室环境下完成，Study 3和Study 4在线完成，以检验研究结论在不同实验情境下的稳定性和普适性。</w:t>
      </w:r>
    </w:p>
    <w:p w14:paraId="2A009A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val="0"/>
          <w:bCs w:val="0"/>
          <w:szCs w:val="24"/>
          <w14:ligatures w14:val="none"/>
        </w:rPr>
      </w:pPr>
      <w:r>
        <w:rPr>
          <w:rFonts w:hint="eastAsia" w:ascii="Times New Roman" w:hAnsi="Times New Roman" w:eastAsia="宋体" w:cs="Times New Roman"/>
          <w:b w:val="0"/>
          <w:bCs w:val="0"/>
          <w:szCs w:val="24"/>
          <w14:ligatures w14:val="none"/>
        </w:rPr>
        <w:t>本研究未对原始数据进行重新筛选、删除或补充，也未对样本量进行修改，而是直接采用作者公开的数据及其预处理后的扩散模型参数数据（ddm.csv）进行分析。该数据集共包含2744条观测记录，记录了研究编号（study）、实验条件（condition）、Stroop一致性（congruency）、被试编号（participant ID）以及扩散决策模型估计得到的决策边界参数（a）、漂移率参数（v）和非决策时间参数（t0/Ter）等变量。</w:t>
      </w:r>
    </w:p>
    <w:p w14:paraId="46D846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val="0"/>
          <w:bCs w:val="0"/>
          <w:szCs w:val="24"/>
          <w14:ligatures w14:val="none"/>
        </w:rPr>
      </w:pPr>
      <w:r>
        <w:rPr>
          <w:rFonts w:hint="eastAsia" w:ascii="Times New Roman" w:hAnsi="Times New Roman" w:eastAsia="宋体" w:cs="Times New Roman"/>
          <w:b w:val="0"/>
          <w:bCs w:val="0"/>
          <w:szCs w:val="24"/>
          <w14:ligatures w14:val="none"/>
        </w:rPr>
        <w:t>由于本研究的目标是检验原研究结果的计算可复现性，因此分析过程中严格遵循作者公开的样本、数据处理方式及统计分析流程，不涉及新的样本招募或统计功效调整。</w:t>
      </w:r>
    </w:p>
    <w:p w14:paraId="35DC7FC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1C3457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val="0"/>
          <w:bCs w:val="0"/>
          <w:szCs w:val="24"/>
          <w14:ligatures w14:val="none"/>
        </w:rPr>
      </w:pPr>
      <w:r>
        <w:rPr>
          <w:rFonts w:hint="eastAsia" w:ascii="Times New Roman" w:hAnsi="Times New Roman" w:eastAsia="宋体" w:cs="Times New Roman"/>
          <w:b w:val="0"/>
          <w:bCs w:val="0"/>
          <w:szCs w:val="24"/>
          <w14:ligatures w14:val="none"/>
        </w:rPr>
        <w:t>原研究主要探讨高认知负荷是否会降低个</w:t>
      </w:r>
      <w:r>
        <w:rPr>
          <w:rFonts w:hint="eastAsia" w:ascii="Times New Roman" w:hAnsi="Times New Roman" w:eastAsia="宋体" w:cs="Times New Roman"/>
          <w:b w:val="0"/>
          <w:bCs w:val="0"/>
          <w:szCs w:val="24"/>
          <w:lang w:eastAsia="zh-CN"/>
          <w14:ligatures w14:val="none"/>
        </w:rPr>
        <w:t>体在</w:t>
      </w:r>
      <w:r>
        <w:rPr>
          <w:rFonts w:hint="eastAsia" w:ascii="Times New Roman" w:hAnsi="Times New Roman" w:eastAsia="宋体" w:cs="Times New Roman"/>
          <w:b w:val="0"/>
          <w:bCs w:val="0"/>
          <w:szCs w:val="24"/>
          <w14:ligatures w14:val="none"/>
        </w:rPr>
        <w:t>后续任务中的决策谨慎性。</w:t>
      </w:r>
      <w:r>
        <w:rPr>
          <w:rFonts w:hint="eastAsia" w:ascii="Times New Roman" w:hAnsi="Times New Roman" w:eastAsia="宋体" w:cs="Times New Roman"/>
          <w:b w:val="0"/>
          <w:bCs w:val="0"/>
          <w:szCs w:val="24"/>
          <w:lang w:val="en-US" w:eastAsia="zh-CN"/>
          <w14:ligatures w14:val="none"/>
        </w:rPr>
        <w:t>实验过程中</w:t>
      </w:r>
      <w:r>
        <w:rPr>
          <w:rFonts w:hint="eastAsia" w:ascii="Times New Roman" w:hAnsi="Times New Roman" w:eastAsia="宋体" w:cs="Times New Roman"/>
          <w:b w:val="0"/>
          <w:bCs w:val="0"/>
          <w:szCs w:val="24"/>
          <w14:ligatures w14:val="none"/>
        </w:rPr>
        <w:t>，参与者首先完成不同认知负荷水平的任务：低认知负荷条件下，参与者观看</w:t>
      </w:r>
      <w:r>
        <w:rPr>
          <w:rFonts w:hint="eastAsia" w:ascii="Times New Roman" w:hAnsi="Times New Roman" w:eastAsia="宋体" w:cs="Times New Roman"/>
          <w:b w:val="0"/>
          <w:bCs w:val="0"/>
          <w:szCs w:val="24"/>
          <w:lang w:val="en-US" w:eastAsia="zh-CN"/>
          <w14:ligatures w14:val="none"/>
        </w:rPr>
        <w:t>5</w:t>
      </w:r>
      <w:r>
        <w:rPr>
          <w:rFonts w:hint="eastAsia" w:ascii="Times New Roman" w:hAnsi="Times New Roman" w:eastAsia="宋体" w:cs="Times New Roman"/>
          <w:b w:val="0"/>
          <w:bCs w:val="0"/>
          <w:szCs w:val="24"/>
          <w14:ligatures w14:val="none"/>
        </w:rPr>
        <w:t>分钟的野生动物视频；高认知负荷条件下，参与者完成经过个体化难度调整的符号计数任务，任务持续时间根据研究不同设置为5至20分钟，以操纵认知努力水平。两次</w:t>
      </w:r>
      <w:r>
        <w:rPr>
          <w:rFonts w:hint="eastAsia" w:ascii="Times New Roman" w:hAnsi="Times New Roman" w:eastAsia="宋体" w:cs="Times New Roman"/>
          <w:b w:val="0"/>
          <w:bCs w:val="0"/>
          <w:szCs w:val="24"/>
          <w:lang w:val="en-US" w:eastAsia="zh-CN"/>
          <w14:ligatures w14:val="none"/>
        </w:rPr>
        <w:t>任务</w:t>
      </w:r>
      <w:r>
        <w:rPr>
          <w:rFonts w:hint="eastAsia" w:ascii="Times New Roman" w:hAnsi="Times New Roman" w:eastAsia="宋体" w:cs="Times New Roman"/>
          <w:b w:val="0"/>
          <w:bCs w:val="0"/>
          <w:szCs w:val="24"/>
          <w14:ligatures w14:val="none"/>
        </w:rPr>
        <w:t>间隔7–12天，</w:t>
      </w:r>
      <w:r>
        <w:rPr>
          <w:rFonts w:hint="eastAsia" w:ascii="Times New Roman" w:hAnsi="Times New Roman" w:eastAsia="宋体" w:cs="Times New Roman"/>
          <w:b w:val="0"/>
          <w:bCs w:val="0"/>
          <w:szCs w:val="24"/>
          <w:lang w:val="en-US" w:eastAsia="zh-CN"/>
          <w14:ligatures w14:val="none"/>
        </w:rPr>
        <w:t>参与者被</w:t>
      </w:r>
      <w:r>
        <w:rPr>
          <w:rFonts w:hint="eastAsia" w:ascii="Times New Roman" w:hAnsi="Times New Roman" w:eastAsia="宋体" w:cs="Times New Roman"/>
          <w:b w:val="0"/>
          <w:bCs w:val="0"/>
          <w:szCs w:val="24"/>
          <w14:ligatures w14:val="none"/>
        </w:rPr>
        <w:t>随机分配先做哪个条件。完成操纵任务后，参与者需要填写主观努力感、疲劳感、挫败感等量表，以检验操纵是否有效。随后，参与者完成 Stroop 任务，通过记录反应时与正确率测量行为表现。作者采用 EZ-diffusion model，根据反应时和正确率估计决策边界、漂移率以及非决策时间等潜在参数。其中，决策边界参数反映个体在作出反应前所要求的证据积累量，可用于衡量反应谨慎性；漂移率参数反映信息加工效率。</w:t>
      </w:r>
    </w:p>
    <w:p w14:paraId="715BE6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val="0"/>
          <w:bCs w:val="0"/>
          <w:szCs w:val="24"/>
          <w14:ligatures w14:val="none"/>
        </w:rPr>
      </w:pPr>
      <w:r>
        <w:rPr>
          <w:rFonts w:hint="eastAsia" w:ascii="Times New Roman" w:hAnsi="Times New Roman" w:eastAsia="宋体" w:cs="Times New Roman"/>
          <w:b w:val="0"/>
          <w:bCs w:val="0"/>
          <w:szCs w:val="24"/>
          <w14:ligatures w14:val="none"/>
        </w:rPr>
        <w:t>在统计分析方面，作者首先分别对四个研究建立两层贝叶斯多层模型（</w:t>
      </w:r>
      <w:r>
        <w:rPr>
          <w:rFonts w:hint="eastAsia" w:ascii="Times New Roman" w:hAnsi="Times New Roman" w:eastAsia="宋体" w:cs="Times New Roman"/>
          <w:b w:val="0"/>
          <w:bCs w:val="0"/>
          <w:szCs w:val="24"/>
          <w:lang w:val="en-US" w:eastAsia="zh-CN"/>
          <w14:ligatures w14:val="none"/>
        </w:rPr>
        <w:t>2</w:t>
      </w:r>
      <w:r>
        <w:rPr>
          <w:rFonts w:hint="eastAsia" w:ascii="Times New Roman" w:hAnsi="Times New Roman" w:eastAsia="宋体" w:cs="Times New Roman"/>
          <w:b w:val="0"/>
          <w:bCs w:val="0"/>
          <w:szCs w:val="24"/>
          <w14:ligatures w14:val="none"/>
        </w:rPr>
        <w:t>-level Bayesian multilevel model），以扩散模型参数为因变量，将实验条件（</w:t>
      </w:r>
      <w:r>
        <w:rPr>
          <w:rFonts w:hint="eastAsia" w:ascii="Times New Roman" w:hAnsi="Times New Roman" w:eastAsia="宋体" w:cs="Times New Roman"/>
          <w:b w:val="0"/>
          <w:bCs w:val="0"/>
          <w:szCs w:val="24"/>
          <w:lang w:val="en-US" w:eastAsia="zh-CN"/>
          <w14:ligatures w14:val="none"/>
        </w:rPr>
        <w:t>control</w:t>
      </w:r>
      <w:r>
        <w:rPr>
          <w:rFonts w:hint="eastAsia" w:ascii="Times New Roman" w:hAnsi="Times New Roman" w:eastAsia="宋体" w:cs="Times New Roman"/>
          <w:b w:val="0"/>
          <w:bCs w:val="0"/>
          <w:szCs w:val="24"/>
          <w14:ligatures w14:val="none"/>
        </w:rPr>
        <w:t xml:space="preserve"> vs. </w:t>
      </w:r>
      <w:r>
        <w:rPr>
          <w:rFonts w:hint="eastAsia" w:ascii="Times New Roman" w:hAnsi="Times New Roman" w:eastAsia="宋体" w:cs="Times New Roman"/>
          <w:b w:val="0"/>
          <w:bCs w:val="0"/>
          <w:szCs w:val="24"/>
          <w:lang w:val="en-US" w:eastAsia="zh-CN"/>
          <w14:ligatures w14:val="none"/>
        </w:rPr>
        <w:t>depletion</w:t>
      </w:r>
      <w:r>
        <w:rPr>
          <w:rFonts w:hint="eastAsia" w:ascii="Times New Roman" w:hAnsi="Times New Roman" w:eastAsia="宋体" w:cs="Times New Roman"/>
          <w:b w:val="0"/>
          <w:bCs w:val="0"/>
          <w:szCs w:val="24"/>
          <w14:ligatures w14:val="none"/>
        </w:rPr>
        <w:t>）和 Stroop 一致性（congruent vs. incongruent）作为固定效应，并将被试作为随机效应纳入模型。随后，作者整合四项研究的数据，建立三级贝叶斯多层模型（</w:t>
      </w:r>
      <w:r>
        <w:rPr>
          <w:rFonts w:hint="eastAsia" w:ascii="Times New Roman" w:hAnsi="Times New Roman" w:eastAsia="宋体" w:cs="Times New Roman"/>
          <w:b w:val="0"/>
          <w:bCs w:val="0"/>
          <w:szCs w:val="24"/>
          <w:lang w:val="en-US" w:eastAsia="zh-CN"/>
          <w14:ligatures w14:val="none"/>
        </w:rPr>
        <w:t>3</w:t>
      </w:r>
      <w:r>
        <w:rPr>
          <w:rFonts w:hint="eastAsia" w:ascii="Times New Roman" w:hAnsi="Times New Roman" w:eastAsia="宋体" w:cs="Times New Roman"/>
          <w:b w:val="0"/>
          <w:bCs w:val="0"/>
          <w:szCs w:val="24"/>
          <w14:ligatures w14:val="none"/>
        </w:rPr>
        <w:t>-level Bayesian multilevel model），在研究层和被试层同时建模随机效应，以获得总体效应估计。</w:t>
      </w:r>
    </w:p>
    <w:p w14:paraId="4F3F1E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val="0"/>
          <w:bCs w:val="0"/>
          <w:szCs w:val="24"/>
          <w14:ligatures w14:val="none"/>
        </w:rPr>
      </w:pPr>
      <w:r>
        <w:rPr>
          <w:rFonts w:hint="eastAsia" w:ascii="Times New Roman" w:hAnsi="Times New Roman" w:eastAsia="宋体" w:cs="Times New Roman"/>
          <w:b w:val="0"/>
          <w:bCs w:val="0"/>
          <w:szCs w:val="24"/>
          <w14:ligatures w14:val="none"/>
        </w:rPr>
        <w:t>模型采用 brms 包进行贝叶斯估计，并依据既往研究报告的效应量构建信息先验。作者利用桥采样（bridge sampling）计算模型边际似然，并进一步计算贝叶斯因子（Bayes Factor），通过比较包含实验条件效应的完整模型与不包含该效应的零模型，评估高认知负荷对决策边界和漂移率的影响。</w:t>
      </w:r>
    </w:p>
    <w:p w14:paraId="73EB1D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val="0"/>
          <w:bCs w:val="0"/>
          <w:szCs w:val="24"/>
          <w14:ligatures w14:val="none"/>
        </w:rPr>
      </w:pPr>
      <w:r>
        <w:rPr>
          <w:rFonts w:hint="eastAsia" w:ascii="Times New Roman" w:hAnsi="Times New Roman" w:eastAsia="宋体" w:cs="Times New Roman"/>
          <w:b w:val="0"/>
          <w:bCs w:val="0"/>
          <w:szCs w:val="24"/>
          <w14:ligatures w14:val="none"/>
        </w:rPr>
        <w:t>本研究使用 R 软件进行复现分析，主要使用的软件包</w:t>
      </w:r>
      <w:r>
        <w:rPr>
          <w:rFonts w:hint="eastAsia" w:ascii="Times New Roman" w:hAnsi="Times New Roman" w:eastAsia="宋体" w:cs="Times New Roman"/>
          <w:b w:val="0"/>
          <w:bCs w:val="0"/>
          <w:szCs w:val="24"/>
          <w:lang w:val="en-US" w:eastAsia="zh-CN"/>
          <w14:ligatures w14:val="none"/>
        </w:rPr>
        <w:t>有</w:t>
      </w:r>
      <w:r>
        <w:rPr>
          <w:rFonts w:hint="eastAsia" w:ascii="Times New Roman" w:hAnsi="Times New Roman" w:eastAsia="宋体" w:cs="Times New Roman"/>
          <w:b w:val="0"/>
          <w:bCs w:val="0"/>
          <w:szCs w:val="24"/>
          <w14:ligatures w14:val="none"/>
        </w:rPr>
        <w:t>：</w:t>
      </w:r>
    </w:p>
    <w:p w14:paraId="200A4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val="0"/>
          <w:bCs w:val="0"/>
          <w:szCs w:val="24"/>
          <w14:ligatures w14:val="none"/>
        </w:rPr>
      </w:pPr>
      <w:r>
        <w:rPr>
          <w:rFonts w:hint="eastAsia" w:ascii="Times New Roman" w:hAnsi="Times New Roman" w:eastAsia="宋体" w:cs="Times New Roman"/>
          <w:b w:val="0"/>
          <w:bCs w:val="0"/>
          <w:szCs w:val="24"/>
          <w14:ligatures w14:val="none"/>
        </w:rPr>
        <w:t xml:space="preserve">brms：用于建立贝叶斯多层模型； data.table：用于数据读取与处理； </w:t>
      </w:r>
      <w:r>
        <w:rPr>
          <w:rFonts w:hint="eastAsia" w:ascii="Times New Roman" w:hAnsi="Times New Roman" w:eastAsia="宋体" w:cs="Times New Roman"/>
          <w:b w:val="0"/>
          <w:bCs w:val="0"/>
          <w:szCs w:val="24"/>
          <w:lang w:val="en-US" w:eastAsia="zh-CN"/>
          <w14:ligatures w14:val="none"/>
        </w:rPr>
        <w:t>b</w:t>
      </w:r>
      <w:r>
        <w:rPr>
          <w:rFonts w:hint="eastAsia" w:ascii="Times New Roman" w:hAnsi="Times New Roman" w:eastAsia="宋体" w:cs="Times New Roman"/>
          <w:b w:val="0"/>
          <w:bCs w:val="0"/>
          <w:szCs w:val="24"/>
          <w14:ligatures w14:val="none"/>
        </w:rPr>
        <w:t>room</w:t>
      </w:r>
      <w:r>
        <w:rPr>
          <w:rFonts w:hint="eastAsia" w:ascii="Times New Roman" w:hAnsi="Times New Roman" w:eastAsia="宋体" w:cs="Times New Roman"/>
          <w:b w:val="0"/>
          <w:bCs w:val="0"/>
          <w:szCs w:val="24"/>
          <w:lang w:eastAsia="zh-CN"/>
          <w14:ligatures w14:val="none"/>
        </w:rPr>
        <w:t>：</w:t>
      </w:r>
      <w:r>
        <w:rPr>
          <w:rFonts w:hint="eastAsia" w:ascii="Times New Roman" w:hAnsi="Times New Roman" w:eastAsia="宋体" w:cs="Times New Roman"/>
          <w:b w:val="0"/>
          <w:bCs w:val="0"/>
          <w:szCs w:val="24"/>
          <w14:ligatures w14:val="none"/>
        </w:rPr>
        <w:t>用于结果提取； bayesplot：用于贝叶斯模型结果可视化； glue：用于模型文件路径管理。</w:t>
      </w:r>
    </w:p>
    <w:p w14:paraId="35DC7FC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2EAD58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rPr>
      </w:pPr>
      <w:r>
        <w:rPr>
          <w:rFonts w:hint="eastAsia" w:ascii="Times New Roman" w:hAnsi="Times New Roman" w:eastAsia="宋体" w:cs="Times New Roman"/>
          <w:sz w:val="21"/>
          <w:szCs w:val="21"/>
        </w:rPr>
        <w:t>本研究旨在对 Lin 等人（2020</w:t>
      </w:r>
      <w:r>
        <w:rPr>
          <w:rFonts w:hint="eastAsia" w:ascii="Times New Roman" w:hAnsi="Times New Roman" w:eastAsia="宋体" w:cs="Times New Roman"/>
        </w:rPr>
        <w:t>）提出的核心理论假设进行计算可复现性检验，即高认知负荷任务是否会降低个体后续任务中的决策边界（boundary），从而使其表现出更低的反应谨慎性。与仅复现单个实验不同，本研究尽可能完整地复现原研究的统计分析流程，以检验其主要研究结论的稳定性和可重复性。</w:t>
      </w:r>
    </w:p>
    <w:p w14:paraId="01169E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在具体实施过程中，本研究使用作者公开的数据集以及配套分析代码，对扩散模型参数的贝叶斯统计分析部分进行复现。由于原作者已公开扩散模型拟合后的参数数据，但未公开从 Stroop 行为数据到扩散模型参数估计的完整建模过程，因此本研究主要复现 DDM 参数获得之后的统计分析流程，而未重新进行扩散模型拟合。</w:t>
      </w:r>
    </w:p>
    <w:p w14:paraId="07270B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复现过程主要包括两个阶段。首先，分别对四个独立研究建立两层贝叶斯多层模型，以决策边界参数（a）作为因变量，将实验条件（condition）和 Stroop 一致性（congruency）作为固定效应，将被试作为随机效应。随后分别拟合包含实验条件效应的完整模型（Full Model）以及不包含实验条件效应的零模型（Null Model），并利用桥采样（bridge sampling）计算贝叶斯因子，以评估实验条件对决策边界的影响。</w:t>
      </w:r>
    </w:p>
    <w:p w14:paraId="7BF057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在完成单个研究复现后，本研究进一步整合四项研究的数据，建立三级贝叶斯多层模型。该模型同时考虑研究层和被试层的随机效应，以获得跨研究的总体效应估计。与原研究一致，本研究同样比较包含实验条件效应的完整模型与不包含实验条件效应的零模型，并计算贝叶斯因子作为模型比较指标。</w:t>
      </w:r>
    </w:p>
    <w:p w14:paraId="1AEE7A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此外，本研究严格沿用原文的变量编码方式、先验分布设置、模型结构以及贝叶斯推断方法，不引入新的统计模型或替代分析方案。对于模型运行过程中出现的采样警告（如 divergence 和 tree depth warning），本研究进一步进行了模型诊断与结果评估，以判断其对主要研究结论的影响。</w:t>
      </w:r>
    </w:p>
    <w:p w14:paraId="6F19B2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rPr>
        <w:t>因此，本研究的目标并非重新检验原研究理论，而是在尽可能保持原分析流程不变的前提下，验证原文主要统计结果及研究结论是否能够被成功复现，并据此评估其计算可复现性水平</w:t>
      </w:r>
      <w:r>
        <w:rPr>
          <w:rFonts w:hint="eastAsia" w:ascii="Times New Roman" w:hAnsi="Times New Roman" w:eastAsia="宋体" w:cs="Times New Roman"/>
          <w:lang w:eastAsia="zh-CN"/>
        </w:rPr>
        <w:t>。</w:t>
      </w:r>
    </w:p>
    <w:p w14:paraId="35DC7FC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DC7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 xml:space="preserve">3.1 </w:t>
      </w:r>
      <w:r>
        <w:rPr>
          <w:rFonts w:hint="eastAsia" w:ascii="Times New Roman" w:hAnsi="Times New Roman" w:eastAsia="宋体" w:cs="Times New Roman"/>
          <w:b/>
          <w:bCs/>
          <w:szCs w:val="24"/>
          <w:lang w:val="en-US" w:eastAsia="zh-CN"/>
          <w14:ligatures w14:val="none"/>
        </w:rPr>
        <w:t>单个研究复现的结果</w:t>
      </w:r>
    </w:p>
    <w:p w14:paraId="66E80D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本研究首先分别对原文中的四个独立研究进行贝叶斯多层模型分析，以检验高认知负荷条件对决策边界（boundary）的影响。结果如表2所示。</w:t>
      </w:r>
    </w:p>
    <w:p w14:paraId="13592202">
      <w:pPr>
        <w:spacing w:line="300" w:lineRule="auto"/>
        <w:jc w:val="center"/>
        <w:rPr>
          <w:rFonts w:hint="default" w:ascii="Times New Roman" w:hAnsi="Times New Roman" w:eastAsia="宋体" w:cs="Times New Roman"/>
          <w:b/>
          <w:bCs/>
          <w:szCs w:val="24"/>
          <w:lang w:val="en-US" w:eastAsia="zh-CN"/>
          <w14:ligatures w14:val="none"/>
        </w:rPr>
      </w:pPr>
      <w:r>
        <w:rPr>
          <w:rFonts w:ascii="Times New Roman" w:hAnsi="Times New Roman" w:eastAsia="宋体" w:cs="Times New Roman"/>
          <w:b/>
          <w:bCs/>
          <w:sz w:val="18"/>
          <w:szCs w:val="18"/>
          <w14:ligatures w14:val="none"/>
        </w:rPr>
        <w:t xml:space="preserve">表 </w:t>
      </w:r>
      <w:r>
        <w:rPr>
          <w:rFonts w:hint="eastAsia" w:ascii="Times New Roman" w:hAnsi="Times New Roman" w:eastAsia="宋体" w:cs="Times New Roman"/>
          <w:b/>
          <w:bCs/>
          <w:sz w:val="18"/>
          <w:szCs w:val="18"/>
          <w14:ligatures w14:val="none"/>
        </w:rPr>
        <w:t>2</w:t>
      </w:r>
      <w:r>
        <w:rPr>
          <w:rFonts w:ascii="Times New Roman" w:hAnsi="Times New Roman" w:eastAsia="宋体" w:cs="Times New Roman"/>
          <w:b/>
          <w:bCs/>
          <w:sz w:val="18"/>
          <w:szCs w:val="18"/>
          <w14:ligatures w14:val="none"/>
        </w:rPr>
        <w:t xml:space="preserve"> </w:t>
      </w:r>
      <w:r>
        <w:rPr>
          <w:rFonts w:hint="eastAsia" w:ascii="Times New Roman" w:hAnsi="Times New Roman" w:eastAsia="宋体" w:cs="Times New Roman"/>
          <w:b/>
          <w:bCs/>
          <w:sz w:val="18"/>
          <w:szCs w:val="18"/>
          <w:lang w:val="en-US" w:eastAsia="zh-CN"/>
          <w14:ligatures w14:val="none"/>
        </w:rPr>
        <w:t>单个研究</w:t>
      </w:r>
      <w:r>
        <w:rPr>
          <w:rFonts w:ascii="Times New Roman" w:hAnsi="Times New Roman" w:eastAsia="宋体" w:cs="Times New Roman"/>
          <w:b/>
          <w:bCs/>
          <w:sz w:val="18"/>
          <w:szCs w:val="18"/>
          <w14:ligatures w14:val="none"/>
        </w:rPr>
        <w:t>实验条件对决策边界（Boundary）的影响</w:t>
      </w:r>
    </w:p>
    <w:tbl>
      <w:tblPr>
        <w:tblStyle w:val="6"/>
        <w:tblW w:w="85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6"/>
        <w:gridCol w:w="1213"/>
        <w:gridCol w:w="1866"/>
        <w:gridCol w:w="1213"/>
        <w:gridCol w:w="1213"/>
        <w:gridCol w:w="1566"/>
      </w:tblGrid>
      <w:tr w14:paraId="14D62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46" w:type="dxa"/>
            <w:tcBorders>
              <w:top w:val="single" w:color="auto" w:sz="12" w:space="0"/>
            </w:tcBorders>
            <w:vAlign w:val="center"/>
          </w:tcPr>
          <w:p w14:paraId="56DD252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p>
        </w:tc>
        <w:tc>
          <w:tcPr>
            <w:tcW w:w="1213" w:type="dxa"/>
            <w:tcBorders>
              <w:top w:val="single" w:color="auto" w:sz="12" w:space="0"/>
            </w:tcBorders>
            <w:vAlign w:val="center"/>
          </w:tcPr>
          <w:p w14:paraId="7CB034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b</w:t>
            </w:r>
          </w:p>
        </w:tc>
        <w:tc>
          <w:tcPr>
            <w:tcW w:w="1866" w:type="dxa"/>
            <w:tcBorders>
              <w:top w:val="single" w:color="auto" w:sz="12" w:space="0"/>
            </w:tcBorders>
            <w:vAlign w:val="center"/>
          </w:tcPr>
          <w:p w14:paraId="60AE04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95%HPD</w:t>
            </w:r>
          </w:p>
        </w:tc>
        <w:tc>
          <w:tcPr>
            <w:tcW w:w="1213" w:type="dxa"/>
            <w:tcBorders>
              <w:top w:val="single" w:color="auto" w:sz="12" w:space="0"/>
            </w:tcBorders>
            <w:vAlign w:val="center"/>
          </w:tcPr>
          <w:p w14:paraId="2CBE73D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BF</w:t>
            </w:r>
          </w:p>
        </w:tc>
        <w:tc>
          <w:tcPr>
            <w:tcW w:w="1213" w:type="dxa"/>
            <w:tcBorders>
              <w:top w:val="single" w:color="auto" w:sz="12" w:space="0"/>
            </w:tcBorders>
            <w:vAlign w:val="center"/>
          </w:tcPr>
          <w:p w14:paraId="5B065D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d</w:t>
            </w:r>
          </w:p>
        </w:tc>
        <w:tc>
          <w:tcPr>
            <w:tcW w:w="1566" w:type="dxa"/>
            <w:tcBorders>
              <w:top w:val="single" w:color="auto" w:sz="12" w:space="0"/>
            </w:tcBorders>
            <w:vAlign w:val="center"/>
          </w:tcPr>
          <w:p w14:paraId="60A88A6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95%HPD</w:t>
            </w:r>
          </w:p>
        </w:tc>
      </w:tr>
      <w:tr w14:paraId="77FE6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6" w:type="dxa"/>
            <w:tcBorders>
              <w:top w:val="single" w:color="auto" w:sz="4" w:space="0"/>
              <w:bottom w:val="nil"/>
            </w:tcBorders>
            <w:vAlign w:val="center"/>
          </w:tcPr>
          <w:p w14:paraId="29D402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Study1</w:t>
            </w:r>
          </w:p>
        </w:tc>
        <w:tc>
          <w:tcPr>
            <w:tcW w:w="7071" w:type="dxa"/>
            <w:gridSpan w:val="5"/>
            <w:tcBorders>
              <w:top w:val="single" w:color="auto" w:sz="4" w:space="0"/>
              <w:bottom w:val="nil"/>
            </w:tcBorders>
            <w:vAlign w:val="center"/>
          </w:tcPr>
          <w:p w14:paraId="03FAE0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14:ligatures w14:val="none"/>
              </w:rPr>
            </w:pPr>
          </w:p>
        </w:tc>
      </w:tr>
      <w:tr w14:paraId="03C90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trPr>
        <w:tc>
          <w:tcPr>
            <w:tcW w:w="1446" w:type="dxa"/>
            <w:tcBorders>
              <w:top w:val="nil"/>
            </w:tcBorders>
            <w:vAlign w:val="center"/>
          </w:tcPr>
          <w:p w14:paraId="3BF74A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原研究结果</w:t>
            </w:r>
          </w:p>
        </w:tc>
        <w:tc>
          <w:tcPr>
            <w:tcW w:w="1213" w:type="dxa"/>
            <w:tcBorders>
              <w:top w:val="nil"/>
            </w:tcBorders>
            <w:vAlign w:val="center"/>
          </w:tcPr>
          <w:p w14:paraId="0ACF0F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0.004</w:t>
            </w:r>
          </w:p>
        </w:tc>
        <w:tc>
          <w:tcPr>
            <w:tcW w:w="1866" w:type="dxa"/>
            <w:tcBorders>
              <w:top w:val="nil"/>
            </w:tcBorders>
            <w:vAlign w:val="center"/>
          </w:tcPr>
          <w:p w14:paraId="66B061E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 xml:space="preserve">0.006, </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0.002]</w:t>
            </w:r>
          </w:p>
        </w:tc>
        <w:tc>
          <w:tcPr>
            <w:tcW w:w="1213" w:type="dxa"/>
            <w:tcBorders>
              <w:top w:val="nil"/>
            </w:tcBorders>
            <w:vAlign w:val="center"/>
          </w:tcPr>
          <w:p w14:paraId="70DB28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25.45</w:t>
            </w:r>
          </w:p>
        </w:tc>
        <w:tc>
          <w:tcPr>
            <w:tcW w:w="1213" w:type="dxa"/>
            <w:tcBorders>
              <w:top w:val="nil"/>
            </w:tcBorders>
            <w:vAlign w:val="center"/>
          </w:tcPr>
          <w:p w14:paraId="3FCD71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0.22</w:t>
            </w:r>
          </w:p>
        </w:tc>
        <w:tc>
          <w:tcPr>
            <w:tcW w:w="1566" w:type="dxa"/>
            <w:tcBorders>
              <w:top w:val="nil"/>
            </w:tcBorders>
            <w:vAlign w:val="center"/>
          </w:tcPr>
          <w:p w14:paraId="5F1D7F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0.34, 0.10]</w:t>
            </w:r>
          </w:p>
        </w:tc>
      </w:tr>
      <w:tr w14:paraId="7E6CF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vAlign w:val="center"/>
          </w:tcPr>
          <w:p w14:paraId="12F9D0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213" w:type="dxa"/>
            <w:vAlign w:val="center"/>
          </w:tcPr>
          <w:p w14:paraId="79E65E6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0.004</w:t>
            </w:r>
          </w:p>
        </w:tc>
        <w:tc>
          <w:tcPr>
            <w:tcW w:w="1866" w:type="dxa"/>
            <w:vAlign w:val="center"/>
          </w:tcPr>
          <w:p w14:paraId="4800AA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 xml:space="preserve">0.006, </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0.002]</w:t>
            </w:r>
          </w:p>
        </w:tc>
        <w:tc>
          <w:tcPr>
            <w:tcW w:w="1213" w:type="dxa"/>
            <w:vAlign w:val="center"/>
          </w:tcPr>
          <w:p w14:paraId="6320B04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22.11</w:t>
            </w:r>
          </w:p>
        </w:tc>
        <w:tc>
          <w:tcPr>
            <w:tcW w:w="1213" w:type="dxa"/>
            <w:vAlign w:val="center"/>
          </w:tcPr>
          <w:p w14:paraId="375C56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0.22</w:t>
            </w:r>
          </w:p>
        </w:tc>
        <w:tc>
          <w:tcPr>
            <w:tcW w:w="1566" w:type="dxa"/>
            <w:vAlign w:val="center"/>
          </w:tcPr>
          <w:p w14:paraId="219C32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0.34, 0.10]</w:t>
            </w:r>
          </w:p>
        </w:tc>
      </w:tr>
      <w:tr w14:paraId="3B059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vAlign w:val="center"/>
          </w:tcPr>
          <w:p w14:paraId="5C202E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i/>
                <w:iCs/>
                <w:szCs w:val="24"/>
                <w14:ligatures w14:val="none"/>
              </w:rPr>
              <w:t>δ</w:t>
            </w:r>
          </w:p>
        </w:tc>
        <w:tc>
          <w:tcPr>
            <w:tcW w:w="1213" w:type="dxa"/>
            <w:vAlign w:val="center"/>
          </w:tcPr>
          <w:p w14:paraId="185562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866" w:type="dxa"/>
            <w:vAlign w:val="center"/>
          </w:tcPr>
          <w:p w14:paraId="3BDF75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213" w:type="dxa"/>
            <w:vAlign w:val="center"/>
          </w:tcPr>
          <w:p w14:paraId="7BDA65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3.34</w:t>
            </w:r>
          </w:p>
        </w:tc>
        <w:tc>
          <w:tcPr>
            <w:tcW w:w="1213" w:type="dxa"/>
            <w:vAlign w:val="center"/>
          </w:tcPr>
          <w:p w14:paraId="0C8C8CE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566" w:type="dxa"/>
            <w:vAlign w:val="center"/>
          </w:tcPr>
          <w:p w14:paraId="2D3160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00D34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vAlign w:val="center"/>
          </w:tcPr>
          <w:p w14:paraId="3B544B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评级</w:t>
            </w:r>
          </w:p>
        </w:tc>
        <w:tc>
          <w:tcPr>
            <w:tcW w:w="1213" w:type="dxa"/>
            <w:vAlign w:val="center"/>
          </w:tcPr>
          <w:p w14:paraId="03874A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完全一致</w:t>
            </w:r>
          </w:p>
        </w:tc>
        <w:tc>
          <w:tcPr>
            <w:tcW w:w="1866" w:type="dxa"/>
            <w:vAlign w:val="center"/>
          </w:tcPr>
          <w:p w14:paraId="15E346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213" w:type="dxa"/>
            <w:vAlign w:val="center"/>
          </w:tcPr>
          <w:p w14:paraId="6D70CA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偏差较小</w:t>
            </w:r>
          </w:p>
        </w:tc>
        <w:tc>
          <w:tcPr>
            <w:tcW w:w="1213" w:type="dxa"/>
            <w:vAlign w:val="center"/>
          </w:tcPr>
          <w:p w14:paraId="2CDF3D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566" w:type="dxa"/>
            <w:vAlign w:val="center"/>
          </w:tcPr>
          <w:p w14:paraId="0F9A6D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r>
      <w:tr w14:paraId="297FD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5DB9A1E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Study2</w:t>
            </w:r>
          </w:p>
        </w:tc>
        <w:tc>
          <w:tcPr>
            <w:tcW w:w="7071" w:type="dxa"/>
            <w:gridSpan w:val="5"/>
            <w:vAlign w:val="center"/>
          </w:tcPr>
          <w:p w14:paraId="3BC9ED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p>
        </w:tc>
      </w:tr>
      <w:tr w14:paraId="57F3F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6F868C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原研究结果</w:t>
            </w:r>
          </w:p>
        </w:tc>
        <w:tc>
          <w:tcPr>
            <w:tcW w:w="1213" w:type="dxa"/>
            <w:vAlign w:val="center"/>
          </w:tcPr>
          <w:p w14:paraId="35CAA1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0.002</w:t>
            </w:r>
          </w:p>
        </w:tc>
        <w:tc>
          <w:tcPr>
            <w:tcW w:w="1866" w:type="dxa"/>
            <w:vAlign w:val="center"/>
          </w:tcPr>
          <w:p w14:paraId="33EF03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0.005, 0.001]</w:t>
            </w:r>
          </w:p>
        </w:tc>
        <w:tc>
          <w:tcPr>
            <w:tcW w:w="1213" w:type="dxa"/>
            <w:vAlign w:val="center"/>
          </w:tcPr>
          <w:p w14:paraId="61B825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0.08</w:t>
            </w:r>
          </w:p>
        </w:tc>
        <w:tc>
          <w:tcPr>
            <w:tcW w:w="1213" w:type="dxa"/>
            <w:vAlign w:val="center"/>
          </w:tcPr>
          <w:p w14:paraId="005792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0.08</w:t>
            </w:r>
          </w:p>
        </w:tc>
        <w:tc>
          <w:tcPr>
            <w:tcW w:w="1566" w:type="dxa"/>
            <w:vAlign w:val="center"/>
          </w:tcPr>
          <w:p w14:paraId="3996E7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0.24, 0.07]</w:t>
            </w:r>
          </w:p>
        </w:tc>
      </w:tr>
      <w:tr w14:paraId="36531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7C382A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本研究</w:t>
            </w:r>
          </w:p>
        </w:tc>
        <w:tc>
          <w:tcPr>
            <w:tcW w:w="1213" w:type="dxa"/>
            <w:vAlign w:val="center"/>
          </w:tcPr>
          <w:p w14:paraId="05CE91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0.002</w:t>
            </w:r>
          </w:p>
        </w:tc>
        <w:tc>
          <w:tcPr>
            <w:tcW w:w="1866" w:type="dxa"/>
            <w:vAlign w:val="center"/>
          </w:tcPr>
          <w:p w14:paraId="1A37EC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0.005, 0.001]</w:t>
            </w:r>
          </w:p>
        </w:tc>
        <w:tc>
          <w:tcPr>
            <w:tcW w:w="1213" w:type="dxa"/>
            <w:vAlign w:val="center"/>
          </w:tcPr>
          <w:p w14:paraId="22C06A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0.08</w:t>
            </w:r>
          </w:p>
        </w:tc>
        <w:tc>
          <w:tcPr>
            <w:tcW w:w="1213" w:type="dxa"/>
            <w:vAlign w:val="center"/>
          </w:tcPr>
          <w:p w14:paraId="21D85C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0.08</w:t>
            </w:r>
          </w:p>
        </w:tc>
        <w:tc>
          <w:tcPr>
            <w:tcW w:w="1566" w:type="dxa"/>
            <w:vAlign w:val="center"/>
          </w:tcPr>
          <w:p w14:paraId="7749FF7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0.24, 0.07]</w:t>
            </w:r>
          </w:p>
        </w:tc>
      </w:tr>
      <w:tr w14:paraId="50DDF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4CC4E4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Cs w:val="24"/>
                <w14:ligatures w14:val="none"/>
              </w:rPr>
              <w:t>δ</w:t>
            </w:r>
          </w:p>
        </w:tc>
        <w:tc>
          <w:tcPr>
            <w:tcW w:w="1213" w:type="dxa"/>
            <w:vAlign w:val="center"/>
          </w:tcPr>
          <w:p w14:paraId="11912F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866" w:type="dxa"/>
            <w:vAlign w:val="center"/>
          </w:tcPr>
          <w:p w14:paraId="63C5D1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213" w:type="dxa"/>
            <w:vAlign w:val="center"/>
          </w:tcPr>
          <w:p w14:paraId="3B6CB1A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213" w:type="dxa"/>
            <w:vAlign w:val="center"/>
          </w:tcPr>
          <w:p w14:paraId="662921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566" w:type="dxa"/>
            <w:vAlign w:val="center"/>
          </w:tcPr>
          <w:p w14:paraId="6AA3522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55143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32994BB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评级</w:t>
            </w:r>
          </w:p>
        </w:tc>
        <w:tc>
          <w:tcPr>
            <w:tcW w:w="1213" w:type="dxa"/>
            <w:vAlign w:val="center"/>
          </w:tcPr>
          <w:p w14:paraId="590CF8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866" w:type="dxa"/>
            <w:vAlign w:val="center"/>
          </w:tcPr>
          <w:p w14:paraId="4313D5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213" w:type="dxa"/>
            <w:vAlign w:val="center"/>
          </w:tcPr>
          <w:p w14:paraId="0DD359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213" w:type="dxa"/>
            <w:vAlign w:val="center"/>
          </w:tcPr>
          <w:p w14:paraId="55254B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566" w:type="dxa"/>
            <w:vAlign w:val="center"/>
          </w:tcPr>
          <w:p w14:paraId="0B43CD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r>
      <w:tr w14:paraId="4C27B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4ECF6C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Study3</w:t>
            </w:r>
          </w:p>
        </w:tc>
        <w:tc>
          <w:tcPr>
            <w:tcW w:w="7071" w:type="dxa"/>
            <w:gridSpan w:val="5"/>
            <w:vAlign w:val="center"/>
          </w:tcPr>
          <w:p w14:paraId="5F9BB94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p>
        </w:tc>
      </w:tr>
      <w:tr w14:paraId="75105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40D1831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原研究结果</w:t>
            </w:r>
          </w:p>
        </w:tc>
        <w:tc>
          <w:tcPr>
            <w:tcW w:w="1213" w:type="dxa"/>
            <w:vAlign w:val="center"/>
          </w:tcPr>
          <w:p w14:paraId="21EB1B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0.005</w:t>
            </w:r>
          </w:p>
        </w:tc>
        <w:tc>
          <w:tcPr>
            <w:tcW w:w="1866" w:type="dxa"/>
            <w:vAlign w:val="center"/>
          </w:tcPr>
          <w:p w14:paraId="2DA5FE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default" w:ascii="Times New Roman" w:hAnsi="Times New Roman" w:eastAsia="宋体" w:cs="Times New Roman"/>
                <w:sz w:val="18"/>
                <w:szCs w:val="18"/>
                <w:lang w:val="en-US" w:eastAsia="zh-CN"/>
                <w14:ligatures w14:val="none"/>
              </w:rPr>
              <w:t xml:space="preserve">0.008, −0.003] </w:t>
            </w:r>
          </w:p>
        </w:tc>
        <w:tc>
          <w:tcPr>
            <w:tcW w:w="1213" w:type="dxa"/>
            <w:vAlign w:val="center"/>
          </w:tcPr>
          <w:p w14:paraId="3898CE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500</w:t>
            </w:r>
          </w:p>
        </w:tc>
        <w:tc>
          <w:tcPr>
            <w:tcW w:w="1213" w:type="dxa"/>
            <w:vAlign w:val="center"/>
          </w:tcPr>
          <w:p w14:paraId="6EADC75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0.32</w:t>
            </w:r>
          </w:p>
        </w:tc>
        <w:tc>
          <w:tcPr>
            <w:tcW w:w="1566" w:type="dxa"/>
            <w:vAlign w:val="center"/>
          </w:tcPr>
          <w:p w14:paraId="078937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0.46, 0.18]</w:t>
            </w:r>
          </w:p>
        </w:tc>
      </w:tr>
      <w:tr w14:paraId="44444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2524FD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本研究</w:t>
            </w:r>
          </w:p>
        </w:tc>
        <w:tc>
          <w:tcPr>
            <w:tcW w:w="1213" w:type="dxa"/>
            <w:vAlign w:val="center"/>
          </w:tcPr>
          <w:p w14:paraId="60C9A68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0.005</w:t>
            </w:r>
          </w:p>
        </w:tc>
        <w:tc>
          <w:tcPr>
            <w:tcW w:w="1866" w:type="dxa"/>
            <w:vAlign w:val="center"/>
          </w:tcPr>
          <w:p w14:paraId="13C1A0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default" w:ascii="Times New Roman" w:hAnsi="Times New Roman" w:eastAsia="宋体" w:cs="Times New Roman"/>
                <w:sz w:val="18"/>
                <w:szCs w:val="18"/>
                <w:lang w:val="en-US" w:eastAsia="zh-CN"/>
                <w14:ligatures w14:val="none"/>
              </w:rPr>
              <w:t xml:space="preserve">0.008, −0.003] </w:t>
            </w:r>
          </w:p>
        </w:tc>
        <w:tc>
          <w:tcPr>
            <w:tcW w:w="1213" w:type="dxa"/>
            <w:vAlign w:val="center"/>
          </w:tcPr>
          <w:p w14:paraId="1D114B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500</w:t>
            </w:r>
          </w:p>
        </w:tc>
        <w:tc>
          <w:tcPr>
            <w:tcW w:w="1213" w:type="dxa"/>
            <w:vAlign w:val="center"/>
          </w:tcPr>
          <w:p w14:paraId="5B6EFB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0.32</w:t>
            </w:r>
          </w:p>
        </w:tc>
        <w:tc>
          <w:tcPr>
            <w:tcW w:w="1566" w:type="dxa"/>
            <w:vAlign w:val="center"/>
          </w:tcPr>
          <w:p w14:paraId="01D17A6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0.46, 0.18]</w:t>
            </w:r>
          </w:p>
        </w:tc>
      </w:tr>
      <w:tr w14:paraId="62745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4FF003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Cs w:val="24"/>
                <w14:ligatures w14:val="none"/>
              </w:rPr>
              <w:t>δ</w:t>
            </w:r>
          </w:p>
        </w:tc>
        <w:tc>
          <w:tcPr>
            <w:tcW w:w="1213" w:type="dxa"/>
            <w:vAlign w:val="center"/>
          </w:tcPr>
          <w:p w14:paraId="6845F4D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866" w:type="dxa"/>
            <w:vAlign w:val="center"/>
          </w:tcPr>
          <w:p w14:paraId="0C404AB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213" w:type="dxa"/>
            <w:vAlign w:val="center"/>
          </w:tcPr>
          <w:p w14:paraId="7BDC7E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213" w:type="dxa"/>
            <w:vAlign w:val="center"/>
          </w:tcPr>
          <w:p w14:paraId="5D4AFC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566" w:type="dxa"/>
            <w:vAlign w:val="center"/>
          </w:tcPr>
          <w:p w14:paraId="18E3A2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17680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1D2562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评级</w:t>
            </w:r>
          </w:p>
        </w:tc>
        <w:tc>
          <w:tcPr>
            <w:tcW w:w="1213" w:type="dxa"/>
            <w:vAlign w:val="center"/>
          </w:tcPr>
          <w:p w14:paraId="417FFA2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866" w:type="dxa"/>
            <w:vAlign w:val="center"/>
          </w:tcPr>
          <w:p w14:paraId="34E801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213" w:type="dxa"/>
            <w:vAlign w:val="center"/>
          </w:tcPr>
          <w:p w14:paraId="34E1DDD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213" w:type="dxa"/>
            <w:vAlign w:val="center"/>
          </w:tcPr>
          <w:p w14:paraId="098BB9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566" w:type="dxa"/>
            <w:vAlign w:val="center"/>
          </w:tcPr>
          <w:p w14:paraId="7BC96A1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r>
      <w:tr w14:paraId="36479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538E99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Study4</w:t>
            </w:r>
          </w:p>
        </w:tc>
        <w:tc>
          <w:tcPr>
            <w:tcW w:w="7071" w:type="dxa"/>
            <w:gridSpan w:val="5"/>
            <w:vAlign w:val="center"/>
          </w:tcPr>
          <w:p w14:paraId="5A4916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p>
        </w:tc>
      </w:tr>
      <w:tr w14:paraId="1AD89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0AAEB3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原研究结果</w:t>
            </w:r>
          </w:p>
        </w:tc>
        <w:tc>
          <w:tcPr>
            <w:tcW w:w="1213" w:type="dxa"/>
            <w:vAlign w:val="center"/>
          </w:tcPr>
          <w:p w14:paraId="594B0A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0.006</w:t>
            </w:r>
          </w:p>
        </w:tc>
        <w:tc>
          <w:tcPr>
            <w:tcW w:w="1866" w:type="dxa"/>
            <w:vAlign w:val="center"/>
          </w:tcPr>
          <w:p w14:paraId="1F0557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default" w:ascii="Times New Roman" w:hAnsi="Times New Roman" w:eastAsia="宋体" w:cs="Times New Roman"/>
                <w:sz w:val="18"/>
                <w:szCs w:val="18"/>
                <w:lang w:val="en-US" w:eastAsia="zh-CN"/>
                <w14:ligatures w14:val="none"/>
              </w:rPr>
              <w:t xml:space="preserve">0.01, 0.00] </w:t>
            </w:r>
          </w:p>
        </w:tc>
        <w:tc>
          <w:tcPr>
            <w:tcW w:w="1213" w:type="dxa"/>
            <w:vAlign w:val="center"/>
          </w:tcPr>
          <w:p w14:paraId="64A9C7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0.60</w:t>
            </w:r>
          </w:p>
        </w:tc>
        <w:tc>
          <w:tcPr>
            <w:tcW w:w="1213" w:type="dxa"/>
            <w:vAlign w:val="center"/>
          </w:tcPr>
          <w:p w14:paraId="5A6BE9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0.13</w:t>
            </w:r>
          </w:p>
        </w:tc>
        <w:tc>
          <w:tcPr>
            <w:tcW w:w="1566" w:type="dxa"/>
            <w:vAlign w:val="center"/>
          </w:tcPr>
          <w:p w14:paraId="0A2599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0.26,0.004]</w:t>
            </w:r>
          </w:p>
        </w:tc>
      </w:tr>
      <w:tr w14:paraId="37AC0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6F3D00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本研究</w:t>
            </w:r>
          </w:p>
        </w:tc>
        <w:tc>
          <w:tcPr>
            <w:tcW w:w="1213" w:type="dxa"/>
            <w:vAlign w:val="center"/>
          </w:tcPr>
          <w:p w14:paraId="339EEA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0.006</w:t>
            </w:r>
          </w:p>
        </w:tc>
        <w:tc>
          <w:tcPr>
            <w:tcW w:w="1866" w:type="dxa"/>
            <w:vAlign w:val="center"/>
          </w:tcPr>
          <w:p w14:paraId="2D08EEF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default" w:ascii="Times New Roman" w:hAnsi="Times New Roman" w:eastAsia="宋体" w:cs="Times New Roman"/>
                <w:sz w:val="18"/>
                <w:szCs w:val="18"/>
                <w:lang w:val="en-US" w:eastAsia="zh-CN"/>
                <w14:ligatures w14:val="none"/>
              </w:rPr>
              <w:t xml:space="preserve">0.01, 0.00] </w:t>
            </w:r>
          </w:p>
        </w:tc>
        <w:tc>
          <w:tcPr>
            <w:tcW w:w="1213" w:type="dxa"/>
            <w:vAlign w:val="center"/>
          </w:tcPr>
          <w:p w14:paraId="53E87D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0.</w:t>
            </w:r>
            <w:r>
              <w:rPr>
                <w:rFonts w:hint="eastAsia" w:ascii="Times New Roman" w:hAnsi="Times New Roman" w:eastAsia="宋体" w:cs="Times New Roman"/>
                <w:sz w:val="18"/>
                <w:szCs w:val="18"/>
                <w:lang w:val="en-US" w:eastAsia="zh-CN"/>
                <w14:ligatures w14:val="none"/>
              </w:rPr>
              <w:t>59</w:t>
            </w:r>
          </w:p>
        </w:tc>
        <w:tc>
          <w:tcPr>
            <w:tcW w:w="1213" w:type="dxa"/>
            <w:vAlign w:val="center"/>
          </w:tcPr>
          <w:p w14:paraId="7706BD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0.13</w:t>
            </w:r>
          </w:p>
        </w:tc>
        <w:tc>
          <w:tcPr>
            <w:tcW w:w="1566" w:type="dxa"/>
            <w:vAlign w:val="center"/>
          </w:tcPr>
          <w:p w14:paraId="2728C15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14:ligatures w14:val="none"/>
              </w:rPr>
              <w:t>0.26,0.004]</w:t>
            </w:r>
          </w:p>
        </w:tc>
      </w:tr>
      <w:tr w14:paraId="5F537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shd w:val="clear" w:color="auto" w:fill="auto"/>
            <w:vAlign w:val="center"/>
          </w:tcPr>
          <w:p w14:paraId="137320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ascii="Times New Roman" w:hAnsi="Times New Roman" w:eastAsia="宋体" w:cs="Times New Roman"/>
                <w:i/>
                <w:iCs/>
                <w:szCs w:val="24"/>
                <w14:ligatures w14:val="none"/>
              </w:rPr>
              <w:t>δ</w:t>
            </w:r>
          </w:p>
        </w:tc>
        <w:tc>
          <w:tcPr>
            <w:tcW w:w="1213" w:type="dxa"/>
            <w:vAlign w:val="center"/>
          </w:tcPr>
          <w:p w14:paraId="5241E5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866" w:type="dxa"/>
            <w:vAlign w:val="center"/>
          </w:tcPr>
          <w:p w14:paraId="0E485C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213" w:type="dxa"/>
            <w:vAlign w:val="center"/>
          </w:tcPr>
          <w:p w14:paraId="7AB6C9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0.1</w:t>
            </w:r>
          </w:p>
        </w:tc>
        <w:tc>
          <w:tcPr>
            <w:tcW w:w="1213" w:type="dxa"/>
            <w:vAlign w:val="center"/>
          </w:tcPr>
          <w:p w14:paraId="759C14C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566" w:type="dxa"/>
            <w:vAlign w:val="center"/>
          </w:tcPr>
          <w:p w14:paraId="13CDA5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0A3E1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446" w:type="dxa"/>
            <w:tcBorders>
              <w:bottom w:val="single" w:color="auto" w:sz="12" w:space="0"/>
            </w:tcBorders>
            <w:shd w:val="clear" w:color="auto" w:fill="auto"/>
            <w:vAlign w:val="center"/>
          </w:tcPr>
          <w:p w14:paraId="2230159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评级</w:t>
            </w:r>
          </w:p>
        </w:tc>
        <w:tc>
          <w:tcPr>
            <w:tcW w:w="1213" w:type="dxa"/>
            <w:tcBorders>
              <w:bottom w:val="single" w:color="auto" w:sz="12" w:space="0"/>
            </w:tcBorders>
            <w:vAlign w:val="center"/>
          </w:tcPr>
          <w:p w14:paraId="3D092F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866" w:type="dxa"/>
            <w:tcBorders>
              <w:bottom w:val="single" w:color="auto" w:sz="12" w:space="0"/>
            </w:tcBorders>
            <w:vAlign w:val="center"/>
          </w:tcPr>
          <w:p w14:paraId="1BF203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213" w:type="dxa"/>
            <w:tcBorders>
              <w:bottom w:val="single" w:color="auto" w:sz="12" w:space="0"/>
            </w:tcBorders>
            <w:vAlign w:val="center"/>
          </w:tcPr>
          <w:p w14:paraId="4F979F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p>
        </w:tc>
        <w:tc>
          <w:tcPr>
            <w:tcW w:w="1213" w:type="dxa"/>
            <w:tcBorders>
              <w:bottom w:val="single" w:color="auto" w:sz="12" w:space="0"/>
            </w:tcBorders>
            <w:vAlign w:val="center"/>
          </w:tcPr>
          <w:p w14:paraId="263C54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566" w:type="dxa"/>
            <w:tcBorders>
              <w:bottom w:val="single" w:color="auto" w:sz="12" w:space="0"/>
            </w:tcBorders>
            <w:vAlign w:val="center"/>
          </w:tcPr>
          <w:p w14:paraId="72DC64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r>
    </w:tbl>
    <w:p w14:paraId="4E121A6D">
      <w:pPr>
        <w:spacing w:line="360" w:lineRule="auto"/>
        <w:contextualSpacing/>
        <w:rPr>
          <w:rFonts w:hint="eastAsia" w:ascii="Times New Roman" w:hAnsi="Times New Roman" w:eastAsia="宋体" w:cs="Times New Roman"/>
          <w:b/>
          <w:bCs/>
          <w:szCs w:val="24"/>
          <w14:ligatures w14:val="none"/>
        </w:rPr>
      </w:pPr>
    </w:p>
    <w:p w14:paraId="0325EB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总体而言，四个研究中实验条件效应的方向均与原研究一致，均表现为高认知负荷条件相比控制条件具有更低的决策边界，即参与者在经历高认知努力后表现出较低的反应谨慎性。</w:t>
      </w:r>
    </w:p>
    <w:p w14:paraId="5679B9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具体来看，Study 1中，复现得到的实验条件效应为 </w:t>
      </w:r>
      <w:r>
        <w:rPr>
          <w:rFonts w:ascii="Times New Roman" w:hAnsi="Times New Roman" w:eastAsia="宋体" w:cs="Times New Roman"/>
          <w:b w:val="0"/>
          <w:bCs w:val="0"/>
          <w:i/>
          <w:iCs/>
          <w:sz w:val="21"/>
          <w:szCs w:val="21"/>
        </w:rPr>
        <w:t>b</w:t>
      </w:r>
      <w:r>
        <w:rPr>
          <w:rFonts w:ascii="Times New Roman" w:hAnsi="Times New Roman" w:eastAsia="宋体" w:cs="Times New Roman"/>
          <w:b w:val="0"/>
          <w:bCs w:val="0"/>
          <w:sz w:val="21"/>
          <w:szCs w:val="21"/>
        </w:rPr>
        <w:t xml:space="preserve"> = −0.004，95% HPD = [−0.006, −0.002]，BF = 22.11，表明高认知负荷降低决策边界，该结果与原研究报告的参数估计和效应量完全一致，仅贝叶斯因子存在轻微差异（原研究 BF = 25.45）。Study 2中，复现结果为 </w:t>
      </w:r>
      <w:r>
        <w:rPr>
          <w:rFonts w:ascii="Times New Roman" w:hAnsi="Times New Roman" w:eastAsia="宋体" w:cs="Times New Roman"/>
          <w:b w:val="0"/>
          <w:bCs w:val="0"/>
          <w:i/>
          <w:iCs/>
          <w:sz w:val="21"/>
          <w:szCs w:val="21"/>
        </w:rPr>
        <w:t>b</w:t>
      </w:r>
      <w:r>
        <w:rPr>
          <w:rFonts w:ascii="Times New Roman" w:hAnsi="Times New Roman" w:eastAsia="宋体" w:cs="Times New Roman"/>
          <w:b w:val="0"/>
          <w:bCs w:val="0"/>
          <w:sz w:val="21"/>
          <w:szCs w:val="21"/>
        </w:rPr>
        <w:t xml:space="preserve"> = −0.002，95% HPD = [−0.005, 0.001]，BF = 0.08，与原研究结果完全一致。该结果表明，在该研究中，数据并未为高认知负荷影响决策边界提供支持。Study 3中，复现结果为 </w:t>
      </w:r>
      <w:r>
        <w:rPr>
          <w:rFonts w:ascii="Times New Roman" w:hAnsi="Times New Roman" w:eastAsia="宋体" w:cs="Times New Roman"/>
          <w:b w:val="0"/>
          <w:bCs w:val="0"/>
          <w:i/>
          <w:iCs/>
          <w:sz w:val="21"/>
          <w:szCs w:val="21"/>
        </w:rPr>
        <w:t>b</w:t>
      </w:r>
      <w:r>
        <w:rPr>
          <w:rFonts w:ascii="Times New Roman" w:hAnsi="Times New Roman" w:eastAsia="宋体" w:cs="Times New Roman"/>
          <w:b w:val="0"/>
          <w:bCs w:val="0"/>
          <w:sz w:val="21"/>
          <w:szCs w:val="21"/>
        </w:rPr>
        <w:t xml:space="preserve"> = −0.005，95% HPD = [−0.008, −0.003]，BF &gt; 500，与原研究结果完全一致，表明存在极强证据支持高认知负荷降低决策边界。Study 4中，复现得到的效应估计为</w:t>
      </w:r>
      <w:r>
        <w:rPr>
          <w:rFonts w:ascii="Times New Roman" w:hAnsi="Times New Roman" w:eastAsia="宋体" w:cs="Times New Roman"/>
          <w:b w:val="0"/>
          <w:bCs w:val="0"/>
          <w:i/>
          <w:iCs/>
          <w:sz w:val="21"/>
          <w:szCs w:val="21"/>
        </w:rPr>
        <w:t xml:space="preserve"> b</w:t>
      </w:r>
      <w:r>
        <w:rPr>
          <w:rFonts w:ascii="Times New Roman" w:hAnsi="Times New Roman" w:eastAsia="宋体" w:cs="Times New Roman"/>
          <w:b w:val="0"/>
          <w:bCs w:val="0"/>
          <w:sz w:val="21"/>
          <w:szCs w:val="21"/>
        </w:rPr>
        <w:t xml:space="preserve"> = −0.006，95% HPD = [−0.010, 0.000]，BF = 0.59，与原研究相比仅存在极小差异（原研究 BF = 0.60）。</w:t>
      </w:r>
    </w:p>
    <w:p w14:paraId="367D0B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b/>
          <w:bCs/>
          <w:szCs w:val="24"/>
          <w14:ligatures w14:val="none"/>
        </w:rPr>
      </w:pPr>
      <w:r>
        <w:rPr>
          <w:rFonts w:ascii="Times New Roman" w:hAnsi="Times New Roman" w:eastAsia="宋体" w:cs="Times New Roman"/>
          <w:b w:val="0"/>
          <w:bCs w:val="0"/>
          <w:sz w:val="21"/>
          <w:szCs w:val="21"/>
        </w:rPr>
        <w:t>综上，在四项独立研究中，本研究成功复现了原文报告的参数估计、效应方向及效应量结果。其中22个指标（88%）与原文完全一致，其余3个指标（12%）仅存在较小偏差，且差异主要体现在贝叶斯因子的数值上。</w:t>
      </w:r>
    </w:p>
    <w:p w14:paraId="35DC7FF9">
      <w:pPr>
        <w:spacing w:line="360" w:lineRule="auto"/>
        <w:contextualSpacing/>
        <w:rPr>
          <w:rFonts w:hint="default"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 xml:space="preserve">3.2 </w:t>
      </w:r>
      <w:r>
        <w:rPr>
          <w:rFonts w:hint="eastAsia" w:ascii="Times New Roman" w:hAnsi="Times New Roman" w:eastAsia="宋体" w:cs="Times New Roman"/>
          <w:b/>
          <w:bCs/>
          <w:szCs w:val="24"/>
          <w:lang w:val="en-US" w:eastAsia="zh-CN"/>
          <w14:ligatures w14:val="none"/>
        </w:rPr>
        <w:t>整体研究复现的结果</w:t>
      </w:r>
    </w:p>
    <w:p w14:paraId="75F019F0">
      <w:pPr>
        <w:keepNext w:val="0"/>
        <w:keepLines w:val="0"/>
        <w:pageBreakBefore w:val="0"/>
        <w:widowControl w:val="0"/>
        <w:kinsoku/>
        <w:wordWrap/>
        <w:overflowPunct/>
        <w:topLinePunct w:val="0"/>
        <w:autoSpaceDE/>
        <w:autoSpaceDN/>
        <w:bidi w:val="0"/>
        <w:adjustRightInd/>
        <w:snapToGrid/>
        <w:spacing w:line="360" w:lineRule="auto"/>
        <w:ind w:firstLine="420" w:firstLineChars="200"/>
        <w:contextualSpacing/>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在单个研究分析的基础上，本研究进一步整合四项研究的数据，建立三级贝叶斯多层模型，以估计认知努力对决策边界的总体影响。结果见表3。</w:t>
      </w:r>
    </w:p>
    <w:p w14:paraId="6A68BE2A">
      <w:pPr>
        <w:keepNext w:val="0"/>
        <w:keepLines w:val="0"/>
        <w:pageBreakBefore w:val="0"/>
        <w:widowControl w:val="0"/>
        <w:kinsoku/>
        <w:wordWrap/>
        <w:overflowPunct/>
        <w:topLinePunct w:val="0"/>
        <w:autoSpaceDE/>
        <w:autoSpaceDN/>
        <w:bidi w:val="0"/>
        <w:adjustRightInd/>
        <w:snapToGrid/>
        <w:spacing w:line="360" w:lineRule="auto"/>
        <w:ind w:firstLine="420" w:firstLineChars="200"/>
        <w:contextualSpacing/>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复现结果显示，高认知负荷条件相较于控制条件显著降低了参与者的决策边界，效应估计为 b = −0.004，95% HPD = [−0.005, −0.002]，标准化效应量为 d = −0.15，95% HPD = [−0.22, −0.07]。该结果与原研究报告的参数估计和效应量完全一致。</w:t>
      </w:r>
    </w:p>
    <w:p w14:paraId="37AADA03">
      <w:pPr>
        <w:keepNext w:val="0"/>
        <w:keepLines w:val="0"/>
        <w:pageBreakBefore w:val="0"/>
        <w:widowControl w:val="0"/>
        <w:kinsoku/>
        <w:wordWrap/>
        <w:overflowPunct/>
        <w:topLinePunct w:val="0"/>
        <w:autoSpaceDE/>
        <w:autoSpaceDN/>
        <w:bidi w:val="0"/>
        <w:adjustRightInd/>
        <w:snapToGrid/>
        <w:spacing w:line="360" w:lineRule="auto"/>
        <w:ind w:firstLine="420" w:firstLineChars="200"/>
        <w:contextualSpacing/>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模型比较结果显示，本研究计算得到的贝叶斯因子为 BF = 38.61，而原研究报告的贝叶斯因子为 BF = 29.10。虽然两者在具体数值上存在一定差异，但均提供了较强证据支持包含实验条件效应的完整模型。因此，本研究成功复现了原研究关于“高认知努力降低决策谨慎性”的核心结论。</w:t>
      </w:r>
    </w:p>
    <w:p w14:paraId="5AFF0C8E">
      <w:pPr>
        <w:spacing w:line="300" w:lineRule="auto"/>
        <w:jc w:val="center"/>
        <w:rPr>
          <w:rFonts w:hint="eastAsia" w:ascii="Times New Roman" w:hAnsi="Times New Roman" w:eastAsia="宋体" w:cs="Times New Roman"/>
          <w:szCs w:val="24"/>
          <w14:ligatures w14:val="none"/>
        </w:rPr>
      </w:pPr>
      <w:r>
        <w:rPr>
          <w:rFonts w:ascii="Times New Roman" w:hAnsi="Times New Roman" w:eastAsia="宋体" w:cs="Times New Roman"/>
          <w:b/>
          <w:bCs/>
          <w:sz w:val="18"/>
          <w:szCs w:val="18"/>
          <w14:ligatures w14:val="none"/>
        </w:rPr>
        <w:t xml:space="preserve">表 </w:t>
      </w:r>
      <w:r>
        <w:rPr>
          <w:rFonts w:hint="eastAsia" w:ascii="Times New Roman" w:hAnsi="Times New Roman" w:eastAsia="宋体" w:cs="Times New Roman"/>
          <w:b/>
          <w:bCs/>
          <w:sz w:val="18"/>
          <w:szCs w:val="18"/>
          <w14:ligatures w14:val="none"/>
        </w:rPr>
        <w:t>3</w:t>
      </w:r>
      <w:r>
        <w:rPr>
          <w:rFonts w:ascii="Times New Roman" w:hAnsi="Times New Roman" w:eastAsia="宋体" w:cs="Times New Roman"/>
          <w:b/>
          <w:bCs/>
          <w:sz w:val="18"/>
          <w:szCs w:val="18"/>
          <w14:ligatures w14:val="none"/>
        </w:rPr>
        <w:t xml:space="preserve"> </w:t>
      </w:r>
      <w:r>
        <w:rPr>
          <w:rFonts w:hint="eastAsia" w:ascii="Times New Roman" w:hAnsi="Times New Roman" w:eastAsia="宋体" w:cs="Times New Roman"/>
          <w:b/>
          <w:bCs/>
          <w:sz w:val="18"/>
          <w:szCs w:val="18"/>
          <w:lang w:val="en-US" w:eastAsia="zh-CN"/>
          <w14:ligatures w14:val="none"/>
        </w:rPr>
        <w:t>汇总研究中</w:t>
      </w:r>
      <w:r>
        <w:rPr>
          <w:rFonts w:ascii="Times New Roman" w:hAnsi="Times New Roman" w:eastAsia="宋体" w:cs="Times New Roman"/>
          <w:b/>
          <w:bCs/>
          <w:sz w:val="18"/>
          <w:szCs w:val="18"/>
          <w14:ligatures w14:val="none"/>
        </w:rPr>
        <w:t>实验条件对决策边界（Boundary）的影响</w:t>
      </w:r>
    </w:p>
    <w:tbl>
      <w:tblPr>
        <w:tblStyle w:val="6"/>
        <w:tblW w:w="852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1"/>
        <w:gridCol w:w="1174"/>
        <w:gridCol w:w="1748"/>
        <w:gridCol w:w="991"/>
        <w:gridCol w:w="1174"/>
        <w:gridCol w:w="1584"/>
      </w:tblGrid>
      <w:tr w14:paraId="6049DB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1" w:type="dxa"/>
            <w:vMerge w:val="restart"/>
            <w:tcBorders>
              <w:top w:val="single" w:color="auto" w:sz="12" w:space="0"/>
            </w:tcBorders>
            <w:vAlign w:val="center"/>
          </w:tcPr>
          <w:p w14:paraId="2771FF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p>
        </w:tc>
        <w:tc>
          <w:tcPr>
            <w:tcW w:w="6671" w:type="dxa"/>
            <w:gridSpan w:val="5"/>
            <w:tcBorders>
              <w:top w:val="single" w:color="auto" w:sz="12" w:space="0"/>
            </w:tcBorders>
            <w:vAlign w:val="center"/>
          </w:tcPr>
          <w:p w14:paraId="0DFF3F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核心假设</w:t>
            </w:r>
          </w:p>
        </w:tc>
      </w:tr>
      <w:tr w14:paraId="0D4F22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851" w:type="dxa"/>
            <w:vMerge w:val="continue"/>
            <w:tcBorders>
              <w:bottom w:val="single" w:color="auto" w:sz="4" w:space="0"/>
            </w:tcBorders>
            <w:vAlign w:val="center"/>
          </w:tcPr>
          <w:p w14:paraId="6019B4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p>
        </w:tc>
        <w:tc>
          <w:tcPr>
            <w:tcW w:w="1174" w:type="dxa"/>
            <w:tcBorders>
              <w:bottom w:val="single" w:color="auto" w:sz="4" w:space="0"/>
            </w:tcBorders>
            <w:vAlign w:val="center"/>
          </w:tcPr>
          <w:p w14:paraId="37B8DE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lang w:val="en-US" w:eastAsia="zh-CN"/>
                <w14:ligatures w14:val="none"/>
              </w:rPr>
              <w:t>b</w:t>
            </w:r>
          </w:p>
        </w:tc>
        <w:tc>
          <w:tcPr>
            <w:tcW w:w="1748" w:type="dxa"/>
            <w:tcBorders>
              <w:bottom w:val="single" w:color="auto" w:sz="4" w:space="0"/>
            </w:tcBorders>
            <w:vAlign w:val="center"/>
          </w:tcPr>
          <w:p w14:paraId="4492261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lang w:val="en-US" w:eastAsia="zh-CN"/>
                <w14:ligatures w14:val="none"/>
              </w:rPr>
              <w:t>95%HPD</w:t>
            </w:r>
          </w:p>
        </w:tc>
        <w:tc>
          <w:tcPr>
            <w:tcW w:w="991" w:type="dxa"/>
            <w:tcBorders>
              <w:bottom w:val="single" w:color="auto" w:sz="4" w:space="0"/>
            </w:tcBorders>
            <w:vAlign w:val="center"/>
          </w:tcPr>
          <w:p w14:paraId="1D3F6C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lang w:val="en-US" w:eastAsia="zh-CN"/>
                <w14:ligatures w14:val="none"/>
              </w:rPr>
              <w:t>BF</w:t>
            </w:r>
          </w:p>
        </w:tc>
        <w:tc>
          <w:tcPr>
            <w:tcW w:w="1174" w:type="dxa"/>
            <w:tcBorders>
              <w:bottom w:val="single" w:color="auto" w:sz="4" w:space="0"/>
            </w:tcBorders>
            <w:vAlign w:val="center"/>
          </w:tcPr>
          <w:p w14:paraId="59B674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lang w:val="en-US" w:eastAsia="zh-CN"/>
                <w14:ligatures w14:val="none"/>
              </w:rPr>
              <w:t>d</w:t>
            </w:r>
          </w:p>
        </w:tc>
        <w:tc>
          <w:tcPr>
            <w:tcW w:w="1584" w:type="dxa"/>
            <w:tcBorders>
              <w:bottom w:val="single" w:color="auto" w:sz="4" w:space="0"/>
            </w:tcBorders>
            <w:vAlign w:val="center"/>
          </w:tcPr>
          <w:p w14:paraId="0855EE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lang w:val="en-US" w:eastAsia="zh-CN"/>
                <w14:ligatures w14:val="none"/>
              </w:rPr>
              <w:t>95%HPD</w:t>
            </w:r>
          </w:p>
        </w:tc>
      </w:tr>
      <w:tr w14:paraId="7F4E5F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trPr>
        <w:tc>
          <w:tcPr>
            <w:tcW w:w="1851" w:type="dxa"/>
            <w:tcBorders>
              <w:top w:val="single" w:color="auto" w:sz="4" w:space="0"/>
              <w:bottom w:val="nil"/>
            </w:tcBorders>
            <w:vAlign w:val="center"/>
          </w:tcPr>
          <w:p w14:paraId="1E3B1C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原文献报告结果</w:t>
            </w:r>
          </w:p>
        </w:tc>
        <w:tc>
          <w:tcPr>
            <w:tcW w:w="1174" w:type="dxa"/>
            <w:tcBorders>
              <w:top w:val="single" w:color="auto" w:sz="4" w:space="0"/>
              <w:bottom w:val="nil"/>
            </w:tcBorders>
            <w:vAlign w:val="center"/>
          </w:tcPr>
          <w:p w14:paraId="767587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−0.004</w:t>
            </w:r>
          </w:p>
        </w:tc>
        <w:tc>
          <w:tcPr>
            <w:tcW w:w="1748" w:type="dxa"/>
            <w:tcBorders>
              <w:top w:val="single" w:color="auto" w:sz="4" w:space="0"/>
              <w:bottom w:val="nil"/>
            </w:tcBorders>
            <w:vAlign w:val="center"/>
          </w:tcPr>
          <w:p w14:paraId="5BD4DE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default" w:ascii="Times New Roman" w:hAnsi="Times New Roman" w:eastAsia="宋体" w:cs="Times New Roman"/>
                <w:sz w:val="18"/>
                <w:szCs w:val="18"/>
                <w:lang w:val="en-US" w:eastAsia="zh-CN"/>
                <w14:ligatures w14:val="none"/>
              </w:rPr>
              <w:t>0.005,−0.00</w:t>
            </w:r>
            <w:r>
              <w:rPr>
                <w:rFonts w:hint="eastAsia" w:ascii="Times New Roman" w:hAnsi="Times New Roman" w:eastAsia="宋体" w:cs="Times New Roman"/>
                <w:sz w:val="18"/>
                <w:szCs w:val="18"/>
                <w:lang w:val="en-US" w:eastAsia="zh-CN"/>
                <w14:ligatures w14:val="none"/>
              </w:rPr>
              <w:t>2</w:t>
            </w:r>
            <w:r>
              <w:rPr>
                <w:rFonts w:hint="default" w:ascii="Times New Roman" w:hAnsi="Times New Roman" w:eastAsia="宋体" w:cs="Times New Roman"/>
                <w:sz w:val="18"/>
                <w:szCs w:val="18"/>
                <w:lang w:val="en-US" w:eastAsia="zh-CN"/>
                <w14:ligatures w14:val="none"/>
              </w:rPr>
              <w:t>]</w:t>
            </w:r>
          </w:p>
        </w:tc>
        <w:tc>
          <w:tcPr>
            <w:tcW w:w="991" w:type="dxa"/>
            <w:tcBorders>
              <w:top w:val="single" w:color="auto" w:sz="4" w:space="0"/>
              <w:bottom w:val="nil"/>
            </w:tcBorders>
            <w:vAlign w:val="center"/>
          </w:tcPr>
          <w:p w14:paraId="060FDD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29.10</w:t>
            </w:r>
          </w:p>
        </w:tc>
        <w:tc>
          <w:tcPr>
            <w:tcW w:w="1174" w:type="dxa"/>
            <w:tcBorders>
              <w:top w:val="single" w:color="auto" w:sz="4" w:space="0"/>
              <w:bottom w:val="nil"/>
            </w:tcBorders>
            <w:vAlign w:val="center"/>
          </w:tcPr>
          <w:p w14:paraId="7E4B3A2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−0.15</w:t>
            </w:r>
          </w:p>
        </w:tc>
        <w:tc>
          <w:tcPr>
            <w:tcW w:w="1584" w:type="dxa"/>
            <w:tcBorders>
              <w:top w:val="single" w:color="auto" w:sz="4" w:space="0"/>
              <w:bottom w:val="nil"/>
            </w:tcBorders>
            <w:vAlign w:val="center"/>
          </w:tcPr>
          <w:p w14:paraId="3234AE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default" w:ascii="Times New Roman" w:hAnsi="Times New Roman" w:eastAsia="宋体" w:cs="Times New Roman"/>
                <w:sz w:val="18"/>
                <w:szCs w:val="18"/>
                <w:lang w:val="en-US" w:eastAsia="zh-CN"/>
                <w14:ligatures w14:val="none"/>
              </w:rPr>
              <w:t>0.22, −0.07]</w:t>
            </w:r>
          </w:p>
        </w:tc>
      </w:tr>
      <w:tr w14:paraId="78192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851" w:type="dxa"/>
            <w:tcBorders>
              <w:top w:val="nil"/>
              <w:bottom w:val="nil"/>
            </w:tcBorders>
            <w:vAlign w:val="center"/>
          </w:tcPr>
          <w:p w14:paraId="584889F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174" w:type="dxa"/>
            <w:tcBorders>
              <w:top w:val="nil"/>
              <w:bottom w:val="nil"/>
            </w:tcBorders>
            <w:vAlign w:val="center"/>
          </w:tcPr>
          <w:p w14:paraId="344874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−0.004</w:t>
            </w:r>
          </w:p>
        </w:tc>
        <w:tc>
          <w:tcPr>
            <w:tcW w:w="1748" w:type="dxa"/>
            <w:tcBorders>
              <w:top w:val="nil"/>
              <w:bottom w:val="nil"/>
            </w:tcBorders>
            <w:vAlign w:val="center"/>
          </w:tcPr>
          <w:p w14:paraId="1670F0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default" w:ascii="Times New Roman" w:hAnsi="Times New Roman" w:eastAsia="宋体" w:cs="Times New Roman"/>
                <w:sz w:val="18"/>
                <w:szCs w:val="18"/>
                <w:lang w:val="en-US" w:eastAsia="zh-CN"/>
                <w14:ligatures w14:val="none"/>
              </w:rPr>
              <w:t>0.005,−0.00</w:t>
            </w:r>
            <w:r>
              <w:rPr>
                <w:rFonts w:hint="eastAsia" w:ascii="Times New Roman" w:hAnsi="Times New Roman" w:eastAsia="宋体" w:cs="Times New Roman"/>
                <w:sz w:val="18"/>
                <w:szCs w:val="18"/>
                <w:lang w:val="en-US" w:eastAsia="zh-CN"/>
                <w14:ligatures w14:val="none"/>
              </w:rPr>
              <w:t>2</w:t>
            </w:r>
            <w:r>
              <w:rPr>
                <w:rFonts w:hint="default" w:ascii="Times New Roman" w:hAnsi="Times New Roman" w:eastAsia="宋体" w:cs="Times New Roman"/>
                <w:sz w:val="18"/>
                <w:szCs w:val="18"/>
                <w:lang w:val="en-US" w:eastAsia="zh-CN"/>
                <w14:ligatures w14:val="none"/>
              </w:rPr>
              <w:t>]</w:t>
            </w:r>
          </w:p>
        </w:tc>
        <w:tc>
          <w:tcPr>
            <w:tcW w:w="991" w:type="dxa"/>
            <w:tcBorders>
              <w:top w:val="nil"/>
              <w:bottom w:val="nil"/>
            </w:tcBorders>
            <w:vAlign w:val="center"/>
          </w:tcPr>
          <w:p w14:paraId="40773C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38.61</w:t>
            </w:r>
          </w:p>
        </w:tc>
        <w:tc>
          <w:tcPr>
            <w:tcW w:w="1174" w:type="dxa"/>
            <w:tcBorders>
              <w:top w:val="nil"/>
              <w:bottom w:val="nil"/>
            </w:tcBorders>
            <w:vAlign w:val="center"/>
          </w:tcPr>
          <w:p w14:paraId="602CF52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−0.15</w:t>
            </w:r>
          </w:p>
        </w:tc>
        <w:tc>
          <w:tcPr>
            <w:tcW w:w="1584" w:type="dxa"/>
            <w:tcBorders>
              <w:top w:val="nil"/>
              <w:bottom w:val="nil"/>
            </w:tcBorders>
            <w:vAlign w:val="center"/>
          </w:tcPr>
          <w:p w14:paraId="5C8EC5B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ascii="Times New Roman" w:hAnsi="Times New Roman" w:eastAsia="宋体" w:cs="Times New Roman"/>
                <w:sz w:val="18"/>
                <w:szCs w:val="18"/>
                <w:lang w:val="en-US" w:eastAsia="zh-CN"/>
                <w14:ligatures w14:val="none"/>
              </w:rPr>
              <w:t>[−</w:t>
            </w:r>
            <w:r>
              <w:rPr>
                <w:rFonts w:hint="default" w:ascii="Times New Roman" w:hAnsi="Times New Roman" w:eastAsia="宋体" w:cs="Times New Roman"/>
                <w:sz w:val="18"/>
                <w:szCs w:val="18"/>
                <w:lang w:val="en-US" w:eastAsia="zh-CN"/>
                <w14:ligatures w14:val="none"/>
              </w:rPr>
              <w:t>0.22, −0.07]</w:t>
            </w:r>
          </w:p>
        </w:tc>
      </w:tr>
      <w:tr w14:paraId="3A1B62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851" w:type="dxa"/>
            <w:tcBorders>
              <w:top w:val="nil"/>
              <w:bottom w:val="nil"/>
            </w:tcBorders>
            <w:vAlign w:val="center"/>
          </w:tcPr>
          <w:p w14:paraId="034F2E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1174" w:type="dxa"/>
            <w:tcBorders>
              <w:top w:val="nil"/>
              <w:bottom w:val="nil"/>
            </w:tcBorders>
            <w:vAlign w:val="center"/>
          </w:tcPr>
          <w:p w14:paraId="567018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748" w:type="dxa"/>
            <w:tcBorders>
              <w:top w:val="nil"/>
              <w:bottom w:val="nil"/>
            </w:tcBorders>
            <w:vAlign w:val="center"/>
          </w:tcPr>
          <w:p w14:paraId="5FB1DD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991" w:type="dxa"/>
            <w:tcBorders>
              <w:top w:val="nil"/>
              <w:bottom w:val="nil"/>
            </w:tcBorders>
            <w:vAlign w:val="center"/>
          </w:tcPr>
          <w:p w14:paraId="17B645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9.51</w:t>
            </w:r>
          </w:p>
        </w:tc>
        <w:tc>
          <w:tcPr>
            <w:tcW w:w="1174" w:type="dxa"/>
            <w:tcBorders>
              <w:top w:val="nil"/>
              <w:bottom w:val="nil"/>
            </w:tcBorders>
            <w:vAlign w:val="center"/>
          </w:tcPr>
          <w:p w14:paraId="6D2EA7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584" w:type="dxa"/>
            <w:tcBorders>
              <w:top w:val="nil"/>
              <w:bottom w:val="nil"/>
            </w:tcBorders>
            <w:vAlign w:val="center"/>
          </w:tcPr>
          <w:p w14:paraId="0361E2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0F6CB3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851" w:type="dxa"/>
            <w:tcBorders>
              <w:top w:val="nil"/>
              <w:bottom w:val="single" w:color="auto" w:sz="12" w:space="0"/>
            </w:tcBorders>
            <w:vAlign w:val="center"/>
          </w:tcPr>
          <w:p w14:paraId="745AA5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174" w:type="dxa"/>
            <w:tcBorders>
              <w:top w:val="nil"/>
              <w:bottom w:val="single" w:color="auto" w:sz="12" w:space="0"/>
            </w:tcBorders>
            <w:vAlign w:val="center"/>
          </w:tcPr>
          <w:p w14:paraId="26B6DB2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748" w:type="dxa"/>
            <w:tcBorders>
              <w:top w:val="nil"/>
              <w:bottom w:val="single" w:color="auto" w:sz="12" w:space="0"/>
            </w:tcBorders>
            <w:vAlign w:val="center"/>
          </w:tcPr>
          <w:p w14:paraId="6D35649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991" w:type="dxa"/>
            <w:tcBorders>
              <w:top w:val="nil"/>
              <w:bottom w:val="single" w:color="auto" w:sz="12" w:space="0"/>
            </w:tcBorders>
            <w:vAlign w:val="center"/>
          </w:tcPr>
          <w:p w14:paraId="5DD6C5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偏差较小</w:t>
            </w:r>
          </w:p>
        </w:tc>
        <w:tc>
          <w:tcPr>
            <w:tcW w:w="1174" w:type="dxa"/>
            <w:tcBorders>
              <w:top w:val="nil"/>
              <w:bottom w:val="single" w:color="auto" w:sz="12" w:space="0"/>
            </w:tcBorders>
            <w:vAlign w:val="center"/>
          </w:tcPr>
          <w:p w14:paraId="04C8EC2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584" w:type="dxa"/>
            <w:tcBorders>
              <w:top w:val="nil"/>
              <w:bottom w:val="single" w:color="auto" w:sz="12" w:space="0"/>
            </w:tcBorders>
            <w:vAlign w:val="center"/>
          </w:tcPr>
          <w:p w14:paraId="05A08B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r>
    </w:tbl>
    <w:p w14:paraId="35DC802D">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b/>
          <w:bCs/>
          <w:sz w:val="22"/>
          <w14:ligatures w14:val="none"/>
        </w:rPr>
      </w:pPr>
    </w:p>
    <w:p w14:paraId="35DC80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zCs w:val="24"/>
          <w:lang w:eastAsia="zh-CN"/>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模型诊断与可复现性</w:t>
      </w:r>
      <w:r>
        <w:rPr>
          <w:rFonts w:hint="eastAsia" w:ascii="Times New Roman" w:hAnsi="Times New Roman" w:eastAsia="宋体" w:cs="Times New Roman"/>
          <w:b/>
          <w:bCs/>
          <w:szCs w:val="24"/>
          <w:lang w:val="en-US" w:eastAsia="zh-CN"/>
          <w14:ligatures w14:val="none"/>
        </w:rPr>
        <w:t>评估</w:t>
      </w:r>
    </w:p>
    <w:p w14:paraId="35DC805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3.3.1 使用与原文献相同方法</w:t>
      </w:r>
    </w:p>
    <w:p w14:paraId="0FF4765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为进一步评估复现结果的可靠性，本研究对重复分析所得统计结果与原研究报告结果进行了逐项比较。结果显示，共比较25个统计指标，其中22个指标（88%）与原文完全一致，3个指标（12%）存在轻微偏差，未发现偏差较大的结果。</w:t>
      </w:r>
    </w:p>
    <w:p w14:paraId="6348959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进一步对统计推论的一致性进行评估发现，所有研究的统计结论均与原研究保持一致，即不存在由于参数估计差异而导致的理论推断改变的情况。因此，推论一致率达到100%。</w:t>
      </w:r>
    </w:p>
    <w:p w14:paraId="70AC73E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此外，在模型运行过程中虽然出现少量采样警告（如 divergence 或 tree depth warning），但主要参数均表现出良好的收敛性，且复现所得参数估计、效应方向及理论解释均与原研究高度一致，说明这些采样问题未对核心研究结论造成实质性影响。</w:t>
      </w:r>
    </w:p>
    <w:p w14:paraId="67BD0C7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综合来看，本研究成功复现了 Lin 等人（2020）关于认知努力降低决策边界的主要发现，表明该研究具有较高的计算可复现性。</w:t>
      </w:r>
    </w:p>
    <w:p w14:paraId="35DC8052">
      <w:pPr>
        <w:spacing w:line="300" w:lineRule="auto"/>
        <w:jc w:val="center"/>
        <w:rPr>
          <w:rFonts w:ascii="Times New Roman" w:hAnsi="Times New Roman" w:eastAsia="宋体" w:cs="Times New Roman"/>
          <w:b/>
          <w:bCs/>
          <w:sz w:val="18"/>
          <w:szCs w:val="18"/>
          <w14:ligatures w14:val="none"/>
        </w:rPr>
      </w:pPr>
      <w:r>
        <w:rPr>
          <w:rFonts w:ascii="Times New Roman" w:hAnsi="Times New Roman" w:eastAsia="宋体" w:cs="Times New Roman"/>
          <w:b/>
          <w:bCs/>
          <w:sz w:val="18"/>
          <w:szCs w:val="18"/>
          <w14:ligatures w14:val="none"/>
        </w:rPr>
        <w:t xml:space="preserve">表 </w:t>
      </w:r>
      <w:r>
        <w:rPr>
          <w:rFonts w:hint="eastAsia" w:ascii="Times New Roman" w:hAnsi="Times New Roman" w:eastAsia="宋体" w:cs="Times New Roman"/>
          <w:b/>
          <w:bCs/>
          <w:sz w:val="18"/>
          <w:szCs w:val="18"/>
          <w:lang w:val="en-US" w:eastAsia="zh-CN"/>
          <w14:ligatures w14:val="none"/>
        </w:rPr>
        <w:t>4</w:t>
      </w:r>
      <w:r>
        <w:rPr>
          <w:rFonts w:ascii="Times New Roman" w:hAnsi="Times New Roman" w:eastAsia="宋体" w:cs="Times New Roman"/>
          <w:b/>
          <w:bCs/>
          <w:sz w:val="18"/>
          <w:szCs w:val="18"/>
          <w14:ligatures w14:val="none"/>
        </w:rPr>
        <w:t xml:space="preserve"> </w:t>
      </w:r>
      <w:r>
        <w:rPr>
          <w:rFonts w:hint="eastAsia" w:ascii="Times New Roman" w:hAnsi="Times New Roman" w:eastAsia="宋体" w:cs="Times New Roman"/>
          <w:b/>
          <w:bCs/>
          <w:sz w:val="18"/>
          <w:szCs w:val="18"/>
          <w14:ligatures w14:val="none"/>
        </w:rPr>
        <w:t xml:space="preserve"> 结果可复现性的评估表</w:t>
      </w:r>
    </w:p>
    <w:tbl>
      <w:tblPr>
        <w:tblStyle w:val="6"/>
        <w:tblW w:w="852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58"/>
        <w:gridCol w:w="1244"/>
        <w:gridCol w:w="1718"/>
      </w:tblGrid>
      <w:tr w14:paraId="35DC8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single" w:color="auto" w:sz="12" w:space="0"/>
            </w:tcBorders>
            <w:vAlign w:val="center"/>
          </w:tcPr>
          <w:p w14:paraId="35DC80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可复现性情况</w:t>
            </w:r>
          </w:p>
        </w:tc>
        <w:tc>
          <w:tcPr>
            <w:tcW w:w="2962" w:type="dxa"/>
            <w:gridSpan w:val="2"/>
            <w:tcBorders>
              <w:top w:val="single" w:color="auto" w:sz="12" w:space="0"/>
            </w:tcBorders>
          </w:tcPr>
          <w:p w14:paraId="35DC80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bottom w:val="single" w:color="auto" w:sz="4" w:space="0"/>
            </w:tcBorders>
          </w:tcPr>
          <w:p w14:paraId="35DC805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textAlignment w:val="auto"/>
              <w:rPr>
                <w:rFonts w:ascii="Times New Roman" w:hAnsi="Times New Roman" w:eastAsia="宋体" w:cs="Times New Roman"/>
                <w:sz w:val="18"/>
                <w:szCs w:val="18"/>
                <w14:ligatures w14:val="none"/>
              </w:rPr>
            </w:pPr>
          </w:p>
        </w:tc>
        <w:tc>
          <w:tcPr>
            <w:tcW w:w="0" w:type="auto"/>
            <w:tcBorders>
              <w:bottom w:val="single" w:color="auto" w:sz="4" w:space="0"/>
            </w:tcBorders>
          </w:tcPr>
          <w:p w14:paraId="35DC805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lang w:val="en-US" w:eastAsia="zh-CN"/>
                <w14:ligatures w14:val="none"/>
              </w:rPr>
              <w:t>*</w:t>
            </w:r>
          </w:p>
        </w:tc>
        <w:tc>
          <w:tcPr>
            <w:tcW w:w="1718" w:type="dxa"/>
            <w:tcBorders>
              <w:bottom w:val="single" w:color="auto" w:sz="4" w:space="0"/>
            </w:tcBorders>
          </w:tcPr>
          <w:p w14:paraId="35DC805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0" w:type="auto"/>
            <w:tcBorders>
              <w:top w:val="single" w:color="auto" w:sz="4" w:space="0"/>
              <w:bottom w:val="nil"/>
            </w:tcBorders>
            <w:vAlign w:val="center"/>
          </w:tcPr>
          <w:p w14:paraId="35DC805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0" w:type="auto"/>
            <w:tcBorders>
              <w:top w:val="single" w:color="auto" w:sz="4" w:space="0"/>
              <w:bottom w:val="nil"/>
            </w:tcBorders>
            <w:vAlign w:val="center"/>
          </w:tcPr>
          <w:p w14:paraId="35DC80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22</w:t>
            </w:r>
          </w:p>
        </w:tc>
        <w:tc>
          <w:tcPr>
            <w:tcW w:w="1718" w:type="dxa"/>
            <w:tcBorders>
              <w:top w:val="single" w:color="auto" w:sz="4" w:space="0"/>
              <w:bottom w:val="nil"/>
            </w:tcBorders>
            <w:vAlign w:val="center"/>
          </w:tcPr>
          <w:p w14:paraId="35DC805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88%</w:t>
            </w:r>
          </w:p>
        </w:tc>
      </w:tr>
      <w:tr w14:paraId="35DC8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0" w:type="auto"/>
            <w:tcBorders>
              <w:top w:val="nil"/>
              <w:bottom w:val="nil"/>
            </w:tcBorders>
            <w:vAlign w:val="center"/>
          </w:tcPr>
          <w:p w14:paraId="35DC80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0" w:type="auto"/>
            <w:tcBorders>
              <w:top w:val="nil"/>
              <w:bottom w:val="nil"/>
            </w:tcBorders>
            <w:vAlign w:val="center"/>
          </w:tcPr>
          <w:p w14:paraId="35DC80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w:t>
            </w:r>
          </w:p>
        </w:tc>
        <w:tc>
          <w:tcPr>
            <w:tcW w:w="1718" w:type="dxa"/>
            <w:tcBorders>
              <w:top w:val="nil"/>
              <w:bottom w:val="nil"/>
            </w:tcBorders>
            <w:vAlign w:val="center"/>
          </w:tcPr>
          <w:p w14:paraId="35DC806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12%</w:t>
            </w:r>
          </w:p>
        </w:tc>
      </w:tr>
      <w:tr w14:paraId="35DC8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0" w:type="auto"/>
            <w:tcBorders>
              <w:top w:val="nil"/>
              <w:bottom w:val="nil"/>
            </w:tcBorders>
            <w:vAlign w:val="center"/>
          </w:tcPr>
          <w:p w14:paraId="35DC80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w:t>
            </w:r>
            <w:r>
              <w:rPr>
                <w:rFonts w:hint="eastAsia" w:ascii="Times New Roman" w:hAnsi="Times New Roman" w:eastAsia="宋体" w:cs="Times New Roman"/>
                <w:sz w:val="18"/>
                <w:szCs w:val="18"/>
                <w:lang w:val="en-US" w:eastAsia="zh-CN"/>
                <w14:ligatures w14:val="none"/>
              </w:rPr>
              <w:t>大</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0" w:type="auto"/>
            <w:tcBorders>
              <w:top w:val="nil"/>
              <w:bottom w:val="nil"/>
            </w:tcBorders>
            <w:vAlign w:val="center"/>
          </w:tcPr>
          <w:p w14:paraId="35DC806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718" w:type="dxa"/>
            <w:tcBorders>
              <w:top w:val="nil"/>
              <w:bottom w:val="nil"/>
            </w:tcBorders>
            <w:vAlign w:val="center"/>
          </w:tcPr>
          <w:p w14:paraId="35DC80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35DC8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5558" w:type="dxa"/>
            <w:tcBorders>
              <w:top w:val="nil"/>
              <w:bottom w:val="single" w:color="auto" w:sz="12" w:space="0"/>
            </w:tcBorders>
            <w:vAlign w:val="center"/>
          </w:tcPr>
          <w:p w14:paraId="35DC80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244" w:type="dxa"/>
            <w:tcBorders>
              <w:top w:val="nil"/>
              <w:bottom w:val="single" w:color="auto" w:sz="12" w:space="0"/>
            </w:tcBorders>
            <w:vAlign w:val="center"/>
          </w:tcPr>
          <w:p w14:paraId="35DC806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718" w:type="dxa"/>
            <w:tcBorders>
              <w:top w:val="nil"/>
              <w:bottom w:val="single" w:color="auto" w:sz="12" w:space="0"/>
            </w:tcBorders>
            <w:vAlign w:val="center"/>
          </w:tcPr>
          <w:p w14:paraId="35DC80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bl>
    <w:p w14:paraId="7672044F">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35DC806B">
      <w:pPr>
        <w:spacing w:line="300" w:lineRule="auto"/>
        <w:ind w:firstLine="361"/>
        <w:jc w:val="center"/>
        <w:rPr>
          <w:rFonts w:ascii="Times New Roman" w:hAnsi="Times New Roman" w:eastAsia="宋体" w:cs="Times New Roman"/>
          <w:b/>
          <w:bCs/>
          <w:sz w:val="18"/>
          <w:szCs w:val="18"/>
          <w14:ligatures w14:val="none"/>
        </w:rPr>
      </w:pPr>
      <w:r>
        <w:rPr>
          <w:rFonts w:hint="eastAsia" w:ascii="Times New Roman" w:hAnsi="Times New Roman" w:eastAsia="宋体" w:cs="Times New Roman"/>
          <w:b/>
          <w:bCs/>
          <w:sz w:val="18"/>
          <w:szCs w:val="18"/>
          <w14:ligatures w14:val="none"/>
        </w:rPr>
        <w:t xml:space="preserve">表 </w:t>
      </w:r>
      <w:r>
        <w:rPr>
          <w:rFonts w:hint="eastAsia" w:ascii="Times New Roman" w:hAnsi="Times New Roman" w:eastAsia="宋体" w:cs="Times New Roman"/>
          <w:b/>
          <w:bCs/>
          <w:sz w:val="18"/>
          <w:szCs w:val="18"/>
          <w:lang w:val="en-US" w:eastAsia="zh-CN"/>
          <w14:ligatures w14:val="none"/>
        </w:rPr>
        <w:t>5</w:t>
      </w:r>
      <w:r>
        <w:rPr>
          <w:rFonts w:ascii="Times New Roman" w:hAnsi="Times New Roman" w:eastAsia="宋体" w:cs="Times New Roman"/>
          <w:b/>
          <w:bCs/>
          <w:sz w:val="18"/>
          <w:szCs w:val="18"/>
          <w14:ligatures w14:val="none"/>
        </w:rPr>
        <w:t xml:space="preserve"> </w:t>
      </w:r>
      <w:r>
        <w:rPr>
          <w:rFonts w:hint="eastAsia" w:ascii="Times New Roman" w:hAnsi="Times New Roman" w:eastAsia="宋体" w:cs="Times New Roman"/>
          <w:b/>
          <w:bCs/>
          <w:sz w:val="18"/>
          <w:szCs w:val="18"/>
          <w14:ligatures w14:val="none"/>
        </w:rPr>
        <w:t xml:space="preserve"> 推论的一致性的评估表(原分析方法)</w:t>
      </w:r>
    </w:p>
    <w:tbl>
      <w:tblPr>
        <w:tblStyle w:val="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6C">
            <w:pPr>
              <w:spacing w:line="24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spacing w:line="24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spacing w:line="24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70">
            <w:pPr>
              <w:spacing w:line="24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8071">
            <w:pPr>
              <w:spacing w:line="24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spacing w:line="24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spacing w:line="240" w:lineRule="auto"/>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8075">
            <w:pPr>
              <w:spacing w:line="240" w:lineRule="auto"/>
              <w:jc w:val="center"/>
              <w:rPr>
                <w:rFonts w:ascii="Times New Roman" w:hAnsi="Times New Roman" w:eastAsia="宋体" w:cs="Times New Roman"/>
                <w:sz w:val="18"/>
                <w:szCs w:val="18"/>
                <w14:ligatures w14:val="none"/>
              </w:rPr>
            </w:pP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spacing w:line="24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spacing w:line="240" w:lineRule="auto"/>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79">
            <w:pPr>
              <w:spacing w:line="240" w:lineRule="auto"/>
              <w:jc w:val="center"/>
              <w:rPr>
                <w:rFonts w:ascii="Times New Roman" w:hAnsi="Times New Roman" w:eastAsia="宋体" w:cs="Times New Roman"/>
                <w:sz w:val="18"/>
                <w:szCs w:val="18"/>
                <w14:ligatures w14:val="none"/>
              </w:rPr>
            </w:pPr>
          </w:p>
        </w:tc>
      </w:tr>
    </w:tbl>
    <w:p w14:paraId="35DC807C">
      <w:pPr>
        <w:spacing w:line="300" w:lineRule="auto"/>
        <w:ind w:firstLine="360"/>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35DC8092">
      <w:pPr>
        <w:spacing w:line="36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6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4ED9CB98">
      <w:pPr>
        <w:spacing w:line="36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本研究总体上成功复现了 Lin 等人（2020）的主要统计结果。在全部25个比较指标中，22个指标（88%）与原研究完全一致，其余3个指标（12%）仅存在较小偏差，且主要体现在贝叶斯因子（Bayes Factor）的数值上。由于参数估计、95% HPD区间以及效应量均与原文完全一致，说明这些差异主要来源于统计计算过程中的技术因素，而非数据处理或模型设定的根本差异。</w:t>
      </w:r>
    </w:p>
    <w:p w14:paraId="31B5E952">
      <w:pPr>
        <w:spacing w:line="36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首先，贝叶斯模型估计过程中的随机性可能是造成结果差异的重要原因。原研究采用 MCMC 方法进行参数估计，并进一步利用桥采样（bridge sampling）计算模型边际似然和贝叶斯因子。由于 MCMC 采样依赖随机初始值，即使使用完全相同的数据、模型结构和先验分布，不同运行之间仍可能产生细微的后验样本差异。此外，桥采样本身是一种数值近似方法，其计算结果可能受到后验样本质量、采样次数以及随机波动的影响。因此，本研究获得的 BF 值与原研究存在轻微差异（如整体模型 BF = 38.61，而原研究报告 BF = 29.10），但两者均支持包含实验条件效应的完整模型，因此不会影响研究结论的一致性。</w:t>
      </w:r>
    </w:p>
    <w:p w14:paraId="6F386FF7">
      <w:pPr>
        <w:spacing w:line="36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其次，软件环境和分析平台的差异也可能导致部分结果存在细微偏差。贝叶斯模型的拟合通常依赖多个软件包及其底层算法，例如 R 版本、brms 包、Stan 采样器以及 bridge sampling 包的版本更新，都可能影响采样过程和边际似然估计结果。由于原研究发表于2020年，而本研究在不同的计算环境下进行复现，即使完全遵循原文公开的分析流程，仍可能产生微小的数值差异。</w:t>
      </w:r>
    </w:p>
    <w:p w14:paraId="50F60280">
      <w:pPr>
        <w:spacing w:line="36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从开放科学实践的角度来看，原研究公开了数据、分析代码和预注册信息，为本研究的成功复现提供了重要条件。开放的数据和代码使研究过程具有较高的透明度，使研究者能够较为准确地重现原始统计分析流程，这也是本研究大部分指标能够达到完全一致的重要原因。</w:t>
      </w:r>
    </w:p>
    <w:p w14:paraId="3F969351">
      <w:pPr>
        <w:spacing w:line="36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然而，原研究的开放材料仍存在一定局限。本研究使用作者公开的扩散模型参数数据（ddm.csv）进行贝叶斯多层模型分析，但原研究并未提供从 Stroop 原始行为数据到 EZ-diffusion 模型参数估计的完整计算流程。因此，本研究仅能够复现 DDM 参数生成之后的统计分析过程，而无法验证参数估计阶段是否具有完全的计算可复现性。这意味着当前复现结果主要证明了原研究统计分析阶段具有较高的可复现性，而不能完全代表整个研究流程的完全可复现。</w:t>
      </w:r>
    </w:p>
    <w:p w14:paraId="0BE8C98A">
      <w:pPr>
        <w:spacing w:line="36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此外，本研究在重复过程中尽可能保持与原研究一致，包括使用相同的数据集、变量编码方式、模型结构以及统计方法，因此重复者操作差异对结果的影响相对较小。模型运行过程中虽然出现少量采样警告（如 divergence 或 tree depth warning），但主要参数具有良好的收敛表现，且最终效应估计和理论推断均与原研究一致，因此这些计算问题并未对核心结论造成实质影响。</w:t>
      </w:r>
    </w:p>
    <w:p w14:paraId="5F805308">
      <w:pPr>
        <w:spacing w:line="36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综上所述，本研究与原文的主要差异体现在综合模型的贝叶斯因子估计上。尽管多次重复分析得到的 BF 数值存在一定波动，但参数估计值、95% HPD 区间以及效应量均与原研究高度一致，说明差异并非来源于数据处理或模型设定的不一致，而更可能与贝叶斯因子计算过程中边际似然的数值近似有关。由于 bridge sampling 需要基于 MCMC 后验样本估计模型边际似然，对于包含多个随机效应的层级模型，其估计结果可能受到 Monte Carlo 误差、后验样本质量以及采样稳定性的影响。此外，模型运行过程中出现的少量 divergence 和 tree depth warning 也可能影响边际似然估计的精确性。尽管 BF 的具体数值与原研究存在差异，但所有结果均支持包含实验条件效应的完整模型，因此该差异未改变研究的统计推断和理论结论。</w:t>
      </w:r>
    </w:p>
    <w:p w14:paraId="35DC8131">
      <w:pPr>
        <w:spacing w:line="300" w:lineRule="auto"/>
        <w:jc w:val="left"/>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3ADB86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t>通过本次计算可复现性实践，</w:t>
      </w:r>
      <w:r>
        <w:rPr>
          <w:rFonts w:hint="eastAsia" w:ascii="Times New Roman" w:hAnsi="Times New Roman" w:eastAsia="宋体" w:cs="Times New Roman"/>
          <w:sz w:val="21"/>
          <w:szCs w:val="21"/>
          <w:lang w:val="en-US" w:eastAsia="zh-CN"/>
        </w:rPr>
        <w:t>我</w:t>
      </w:r>
      <w:r>
        <w:rPr>
          <w:rFonts w:ascii="Times New Roman" w:hAnsi="Times New Roman" w:eastAsia="宋体" w:cs="Times New Roman"/>
          <w:sz w:val="21"/>
          <w:szCs w:val="21"/>
        </w:rPr>
        <w:t>进一步认识到</w:t>
      </w:r>
      <w:r>
        <w:rPr>
          <w:rFonts w:hint="eastAsia" w:ascii="Times New Roman" w:hAnsi="Times New Roman" w:eastAsia="宋体" w:cs="Times New Roman"/>
          <w:sz w:val="21"/>
          <w:szCs w:val="21"/>
          <w:lang w:val="en-US" w:eastAsia="zh-CN"/>
        </w:rPr>
        <w:t>AI</w:t>
      </w:r>
      <w:r>
        <w:rPr>
          <w:rFonts w:ascii="Times New Roman" w:hAnsi="Times New Roman" w:eastAsia="宋体" w:cs="Times New Roman"/>
          <w:sz w:val="21"/>
          <w:szCs w:val="21"/>
        </w:rPr>
        <w:t>在心理学研究方法学习与数据分析中的重要价值。本研究涉及 R 语言编程、贝叶斯多层模型、漂移扩散模型以及桥采样等较为复杂的计算方法，对于缺乏相关经验的研究者而言，仅依靠阅读原始代码和软件文档往往需要较长的学习周期。在复现过程中，人工智能工具能够帮助</w:t>
      </w:r>
      <w:r>
        <w:rPr>
          <w:rFonts w:hint="eastAsia" w:ascii="Times New Roman" w:hAnsi="Times New Roman" w:eastAsia="宋体" w:cs="Times New Roman"/>
          <w:sz w:val="21"/>
          <w:szCs w:val="21"/>
          <w:lang w:val="en-US" w:eastAsia="zh-CN"/>
        </w:rPr>
        <w:t>我</w:t>
      </w:r>
      <w:r>
        <w:rPr>
          <w:rFonts w:ascii="Times New Roman" w:hAnsi="Times New Roman" w:eastAsia="宋体" w:cs="Times New Roman"/>
          <w:sz w:val="21"/>
          <w:szCs w:val="21"/>
        </w:rPr>
        <w:t>快速理解代码逻辑、解释统计模型的含义、定位程序运行中的报错与警告，并辅助查阅相关方法学知识，从而提高了计算复现的效率，降低了复杂统计方法的学习门槛。</w:t>
      </w:r>
    </w:p>
    <w:p w14:paraId="1F9799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t>同时，本次实践也使</w:t>
      </w:r>
      <w:r>
        <w:rPr>
          <w:rFonts w:hint="eastAsia" w:ascii="Times New Roman" w:hAnsi="Times New Roman" w:eastAsia="宋体" w:cs="Times New Roman"/>
          <w:sz w:val="21"/>
          <w:szCs w:val="21"/>
          <w:lang w:val="en-US" w:eastAsia="zh-CN"/>
        </w:rPr>
        <w:t>我</w:t>
      </w:r>
      <w:r>
        <w:rPr>
          <w:rFonts w:ascii="Times New Roman" w:hAnsi="Times New Roman" w:eastAsia="宋体" w:cs="Times New Roman"/>
          <w:sz w:val="21"/>
          <w:szCs w:val="21"/>
        </w:rPr>
        <w:t>认识到，人工智能并不能替代研究者进行科学判断。例如，在本研究中，尽管 AI 可以帮助解释贝叶斯模型、MCMC 采样以及 bridge sampling 等相关概念，但对于复现结果与原研究之间差异的解释，仍需要结合具体的数据、模型特点以及统计理论进行审慎判断。以综合模型的贝叶斯因子差异为例，初步可能会将其归因于软件版本或随机波动，但结合多次重复分析结果以及模型诊断信息后，研究者需要进一步考虑边际似然估计的稳定性、Monte Carlo 误差以及采样质量等更深层次的技术因素。因此，AI 更适合作为研究辅助工具，而非直接替代研究者的分析与推理过程。</w:t>
      </w:r>
    </w:p>
    <w:p w14:paraId="24B168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t>此外，人工智能的发展也为开放科学和计算可复现性研究提供了新的可能。一方面，AI 可以帮助研究者理解公开的数据、代码和分析流程，提高开放材料的实际可使用性；另一方面，随着越来越多研究采用复杂计算模型和高级统计方法，研究者也需要具备对 AI 生成内容进行批判性评估的能力，避免不加验证地接受自动生成的分析结果。</w:t>
      </w:r>
    </w:p>
    <w:p w14:paraId="5DDBB1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sz w:val="21"/>
          <w:szCs w:val="21"/>
        </w:rPr>
      </w:pPr>
      <w:r>
        <w:rPr>
          <w:rFonts w:ascii="Times New Roman" w:hAnsi="Times New Roman" w:eastAsia="宋体" w:cs="Times New Roman"/>
          <w:sz w:val="21"/>
          <w:szCs w:val="21"/>
        </w:rPr>
        <w:t>总体而言，本次课程实践不仅提升了</w:t>
      </w:r>
      <w:r>
        <w:rPr>
          <w:rFonts w:hint="eastAsia" w:ascii="Times New Roman" w:hAnsi="Times New Roman" w:eastAsia="宋体" w:cs="Times New Roman"/>
          <w:sz w:val="21"/>
          <w:szCs w:val="21"/>
          <w:lang w:val="en-US" w:eastAsia="zh-CN"/>
        </w:rPr>
        <w:t>我</w:t>
      </w:r>
      <w:r>
        <w:rPr>
          <w:rFonts w:ascii="Times New Roman" w:hAnsi="Times New Roman" w:eastAsia="宋体" w:cs="Times New Roman"/>
          <w:sz w:val="21"/>
          <w:szCs w:val="21"/>
        </w:rPr>
        <w:t>使用 R 进行贝叶斯数据分析和计算复现的能力，也使</w:t>
      </w:r>
      <w:r>
        <w:rPr>
          <w:rFonts w:hint="eastAsia" w:ascii="Times New Roman" w:hAnsi="Times New Roman" w:eastAsia="宋体" w:cs="Times New Roman"/>
          <w:sz w:val="21"/>
          <w:szCs w:val="21"/>
          <w:lang w:val="en-US" w:eastAsia="zh-CN"/>
        </w:rPr>
        <w:t>我</w:t>
      </w:r>
      <w:r>
        <w:rPr>
          <w:rFonts w:ascii="Times New Roman" w:hAnsi="Times New Roman" w:eastAsia="宋体" w:cs="Times New Roman"/>
          <w:sz w:val="21"/>
          <w:szCs w:val="21"/>
        </w:rPr>
        <w:t>更加深刻地认识到人工智能时代研究者角色的转变。未来的科研工作中，研究者既需要充分利用 AI 提高文献阅读、代码理解和数据分析效率，也需要保持对统计方法、模型假设和研究结论的独立思考，以确保研究过程的透明性和研究结果的可靠性。</w:t>
      </w:r>
    </w:p>
    <w:p w14:paraId="2D1C2ACC">
      <w:pPr>
        <w:rPr>
          <w:rFonts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775B9"/>
    <w:rsid w:val="02A33A3A"/>
    <w:rsid w:val="0B3A0E7A"/>
    <w:rsid w:val="0E243E8A"/>
    <w:rsid w:val="1CD730A2"/>
    <w:rsid w:val="23A8097D"/>
    <w:rsid w:val="23C0473E"/>
    <w:rsid w:val="2B1E549A"/>
    <w:rsid w:val="39AB195F"/>
    <w:rsid w:val="45616555"/>
    <w:rsid w:val="5BF50E83"/>
    <w:rsid w:val="5F294EEB"/>
    <w:rsid w:val="67BC4A38"/>
    <w:rsid w:val="77F9006D"/>
    <w:rsid w:val="786E2937"/>
    <w:rsid w:val="7D283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fa222220-01e9-470a-a2c0-e79d3531c241</errorID>
      <errorWord>体</errorWord>
      <group>L1_Word</group>
      <groupName>字词问题</groupName>
      <ability>L2_Typo</ability>
      <abilityName>字词错误</abilityName>
      <candidateList>
        <item>体在</item>
      </candidateList>
      <explain/>
      <paraID>4834E4F0</paraID>
      <start>72</start>
      <end>73</end>
      <status>ignored</status>
      <modifiedWord/>
      <trackRevisions>false</trackRevisions>
    </reviewItem>
    <reviewItem>
      <errorID>cbe93350-8923-4991-9206-d6086d3cbae8</errorID>
      <errorWord>(</errorWord>
      <group>L1_Format</group>
      <groupName>格式问题</groupName>
      <ability>L2_HalfPunc_CN</ability>
      <abilityName>全半角问题</abilityName>
      <candidateList>
        <item>（</item>
      </candidateList>
      <explain>文本全半角错误。</explain>
      <paraID>35DC7D82</paraID>
      <start>2</start>
      <end>3</end>
      <status>ignored</status>
      <modifiedWord/>
      <trackRevisions>false</trackRevisions>
    </reviewItem>
    <reviewItem>
      <errorID>61440107-650b-41bf-8473-c6453d2ada53</errorID>
      <errorWord>)</errorWord>
      <group>L1_Format</group>
      <groupName>格式问题</groupName>
      <ability>L2_HalfPunc_CN</ability>
      <abilityName>全半角问题</abilityName>
      <candidateList>
        <item>）</item>
      </candidateList>
      <explain>文本全半角错误。</explain>
      <paraID>35DC7D82</paraID>
      <start>9</start>
      <end>10</end>
      <status>ignored</status>
      <modifiedWord/>
      <trackRevisions>false</trackRevisions>
    </reviewItem>
    <reviewItem>
      <errorID>eace87e3-23a0-4749-8ef4-1083f1ecc0fd</errorID>
      <errorWord>(</errorWord>
      <group>L1_Format</group>
      <groupName>格式问题</groupName>
      <ability>L2_HalfPunc_CN</ability>
      <abilityName>全半角问题</abilityName>
      <candidateList>
        <item>（</item>
      </candidateList>
      <explain>文本全半角错误。</explain>
      <paraID>35DC7D8B</paraID>
      <start>2</start>
      <end>3</end>
      <status>ignored</status>
      <modifiedWord/>
      <trackRevisions>false</trackRevisions>
    </reviewItem>
    <reviewItem>
      <errorID>08436506-d75f-4e30-9149-9ef917d563d3</errorID>
      <errorWord>)</errorWord>
      <group>L1_Format</group>
      <groupName>格式问题</groupName>
      <ability>L2_HalfPunc_CN</ability>
      <abilityName>全半角问题</abilityName>
      <candidateList>
        <item>）</item>
      </candidateList>
      <explain>文本全半角错误。</explain>
      <paraID>35DC7D8B</paraID>
      <start>9</start>
      <end>10</end>
      <status>ignored</status>
      <modifiedWord/>
      <trackRevisions>false</trackRevisions>
    </reviewItem>
    <reviewItem>
      <errorID>0d307a3c-f822-4147-a7ce-b26ba94622eb</errorID>
      <errorWord>第几</errorWord>
      <group>L1_Grammar</group>
      <groupName>语法问题</groupName>
      <ability>L2_Order</ability>
      <abilityName>语序不当</abilityName>
      <candidateList>
        <item>哪</item>
      </candidateList>
      <explain>句子可能没有遵循时空、逻辑顺序，或者介词、关联词等位置不当。</explain>
      <paraID>35DC7D8D</paraID>
      <start>16</start>
      <end>18</end>
      <status>ignored</status>
      <modifiedWord/>
      <trackRevisions>false</trackRevisions>
    </reviewItem>
    <reviewItem>
      <errorID>db69637d-8ef2-4e80-8e68-320cd1a28cdb</errorID>
      <errorWord>(</errorWord>
      <group>L1_Format</group>
      <groupName>格式问题</groupName>
      <ability>L2_HalfPunc_CN</ability>
      <abilityName>全半角问题</abilityName>
      <candidateList>
        <item>（</item>
      </candidateList>
      <explain>文本全半角错误。</explain>
      <paraID>35DC7D99</paraID>
      <start>2</start>
      <end>3</end>
      <status>ignored</status>
      <modifiedWord/>
      <trackRevisions>false</trackRevisions>
    </reviewItem>
    <reviewItem>
      <errorID>c586d9e4-6922-4465-97fe-6a3f7092652a</errorID>
      <errorWord>)</errorWord>
      <group>L1_Format</group>
      <groupName>格式问题</groupName>
      <ability>L2_HalfPunc_CN</ability>
      <abilityName>全半角问题</abilityName>
      <candidateList>
        <item>）</item>
      </candidateList>
      <explain>文本全半角错误。</explain>
      <paraID>35DC7D99</paraID>
      <start>7</start>
      <end>8</end>
      <status>ignored</status>
      <modifiedWord/>
      <trackRevisions>false</trackRevisions>
    </reviewItem>
    <reviewItem>
      <errorID>01460a5c-3230-420b-8b91-f87eefef9ab8</errorID>
      <errorWord>体</errorWord>
      <group>L1_Word</group>
      <groupName>字词问题</groupName>
      <ability>L2_Typo</ability>
      <abilityName>字词错误</abilityName>
      <candidateList>
        <item>体在</item>
      </candidateList>
      <explain/>
      <paraID>7A0F3113</paraID>
      <start>18</start>
      <end>20</end>
      <status>modified</status>
      <modifiedWord>体在</modifiedWord>
      <trackRevisions>false</trackRevisions>
    </reviewItem>
    <reviewItem>
      <errorID>ba08ca44-8379-4bff-83d7-d81b085484e5</errorID>
      <errorWord>，</errorWord>
      <group>L1_Word</group>
      <groupName>字词问题</groupName>
      <ability>L2_Typo</ability>
      <abilityName>字词错误</abilityName>
      <candidateList>
        <item>，提</item>
      </candidateList>
      <explain/>
      <paraID>7B13ACB1</paraID>
      <start>80</start>
      <end>81</end>
      <status>ignored</status>
      <modifiedWord/>
      <trackRevisions>false</trackRevisions>
    </reviewItem>
    <reviewItem>
      <errorID>f3f997d5-bfb7-40e6-b114-9137b71a4fca</errorID>
      <errorWord>体</errorWord>
      <group>L1_Word</group>
      <groupName>字词问题</groupName>
      <ability>L2_Typo</ability>
      <abilityName>字词错误</abilityName>
      <candidateList>
        <item>体在</item>
      </candidateList>
      <explain/>
      <paraID>1C3457FB</paraID>
      <start>18</start>
      <end>20</end>
      <status>modified</status>
      <modifiedWord>体在</modifiedWord>
      <trackRevisions>false</trackRevisions>
    </reviewItem>
    <reviewItem>
      <errorID>6fe218c7-23ed-4c04-956f-b9cb783137e0</errorID>
      <errorWord>*</errorWord>
      <group>L1_Punc</group>
      <groupName>标点问题</groupName>
      <ability>L2_Punc_CN</ability>
      <abilityName>标点符号问题</abilityName>
      <candidateList/>
      <explain/>
      <paraID>35DC802C</paraID>
      <start>0</start>
      <end>1</end>
      <status>ignored</status>
      <modifiedWord/>
      <trackRevisions>false</trackRevisions>
    </reviewItem>
    <reviewItem>
      <errorID>41cb7a8d-7cf6-4e53-b829-06a98919e863</errorID>
      <errorWord>(</errorWord>
      <group>L1_Format</group>
      <groupName>格式问题</groupName>
      <ability>L2_HalfPunc_CN</ability>
      <abilityName>全半角问题</abilityName>
      <candidateList>
        <item>（</item>
      </candidateList>
      <explain>文本全半角错误。</explain>
      <paraID>35DC805A</paraID>
      <start>4</start>
      <end>5</end>
      <status>ignored</status>
      <modifiedWord/>
      <trackRevisions>false</trackRevisions>
    </reviewItem>
    <reviewItem>
      <errorID>63c6f681-186b-41a6-a506-e90879aa5b58</errorID>
      <errorWord>(</errorWord>
      <group>L1_Format</group>
      <groupName>格式问题</groupName>
      <ability>L2_HalfPunc_CN</ability>
      <abilityName>全半角问题</abilityName>
      <candidateList>
        <item>（</item>
      </candidateList>
      <explain>文本全半角错误。</explain>
      <paraID>35DC805E</paraID>
      <start>4</start>
      <end>5</end>
      <status>ignored</status>
      <modifiedWord/>
      <trackRevisions>false</trackRevisions>
    </reviewItem>
    <reviewItem>
      <errorID>e5d4a0d3-1c28-4502-b1fb-3b2ce2df17c3</errorID>
      <errorWord>)</errorWord>
      <group>L1_Format</group>
      <groupName>格式问题</groupName>
      <ability>L2_HalfPunc_CN</ability>
      <abilityName>全半角问题</abilityName>
      <candidateList>
        <item>）</item>
      </candidateList>
      <explain>文本全半角错误。</explain>
      <paraID>35DC805E</paraID>
      <start>17</start>
      <end>18</end>
      <status>ignored</status>
      <modifiedWord/>
      <trackRevisions>false</trackRevisions>
    </reviewItem>
    <reviewItem>
      <errorID>27b7abcf-8503-4875-b514-e81445e859a9</errorID>
      <errorWord>(</errorWord>
      <group>L1_Format</group>
      <groupName>格式问题</groupName>
      <ability>L2_HalfPunc_CN</ability>
      <abilityName>全半角问题</abilityName>
      <candidateList>
        <item>（</item>
      </candidateList>
      <explain>文本全半角错误。</explain>
      <paraID>35DC8062</paraID>
      <start>4</start>
      <end>5</end>
      <status>ignored</status>
      <modifiedWord/>
      <trackRevisions>false</trackRevisions>
    </reviewItem>
    <reviewItem>
      <errorID>6751d996-8adc-4915-a26a-2257cc373689</errorID>
      <errorWord>)</errorWord>
      <group>L1_Format</group>
      <groupName>格式问题</groupName>
      <ability>L2_HalfPunc_CN</ability>
      <abilityName>全半角问题</abilityName>
      <candidateList>
        <item>）</item>
      </candidateList>
      <explain>文本全半角错误。</explain>
      <paraID>35DC8062</paraID>
      <start>12</start>
      <end>13</end>
      <status>ignored</status>
      <modifiedWord/>
      <trackRevisions>false</trackRevisions>
    </reviewItem>
    <reviewItem>
      <errorID>f720a9ea-d03f-405d-b645-d4de0bdd97ac</errorID>
      <errorWord>*</errorWord>
      <group>L1_Punc</group>
      <groupName>标点问题</groupName>
      <ability>L2_Punc_CN</ability>
      <abilityName>标点符号问题</abilityName>
      <candidateList/>
      <explain/>
      <paraID>35DC806A</paraID>
      <start>0</start>
      <end>1</end>
      <status>ignored</status>
      <modifiedWord/>
      <trackRevisions>false</trackRevisions>
    </reviewItem>
    <reviewItem>
      <errorID>6de18d4f-4c6a-4165-bebf-0212476a19d0</errorID>
      <errorWord>(</errorWord>
      <group>L1_Format</group>
      <groupName>格式问题</groupName>
      <ability>L2_HalfPunc_CN</ability>
      <abilityName>全半角问题</abilityName>
      <candidateList>
        <item>（</item>
      </candidateList>
      <explain>文本全半角错误。</explain>
      <paraID>35DC806A</paraID>
      <start>61</start>
      <end>62</end>
      <status>ignored</status>
      <modifiedWord/>
      <trackRevisions>false</trackRevisions>
    </reviewItem>
    <reviewItem>
      <errorID>5131ec38-4b79-4f87-be12-8f76807fa107</errorID>
      <errorWord>)</errorWord>
      <group>L1_Format</group>
      <groupName>格式问题</groupName>
      <ability>L2_HalfPunc_CN</ability>
      <abilityName>全半角问题</abilityName>
      <candidateList>
        <item>）</item>
      </candidateList>
      <explain>文本全半角错误。</explain>
      <paraID>35DC806A</paraID>
      <start>86</start>
      <end>87</end>
      <status>ignored</status>
      <modifiedWord/>
      <trackRevisions>false</trackRevisions>
    </reviewItem>
    <reviewItem>
      <errorID>29a64937-1eb1-4766-bde3-aed1c3835f01</errorID>
      <errorWord>(</errorWord>
      <group>L1_Format</group>
      <groupName>格式问题</groupName>
      <ability>L2_HalfPunc_CN</ability>
      <abilityName>全半角问题</abilityName>
      <candidateList>
        <item>（</item>
      </candidateList>
      <explain>文本全半角错误。</explain>
      <paraID>35DC806A</paraID>
      <start>94</start>
      <end>95</end>
      <status>ignored</status>
      <modifiedWord/>
      <trackRevisions>false</trackRevisions>
    </reviewItem>
    <reviewItem>
      <errorID>3f1a5cfa-b2c1-4b04-ae70-843f67187bfb</errorID>
      <errorWord>)</errorWord>
      <group>L1_Format</group>
      <groupName>格式问题</groupName>
      <ability>L2_HalfPunc_CN</ability>
      <abilityName>全半角问题</abilityName>
      <candidateList>
        <item>）</item>
      </candidateList>
      <explain>文本全半角错误。</explain>
      <paraID>35DC806A</paraID>
      <start>120</start>
      <end>121</end>
      <status>ignored</status>
      <modifiedWord/>
      <trackRevisions>false</trackRevisions>
    </reviewItem>
    <reviewItem>
      <errorID>0ca72b95-cb16-4a9b-972c-64f6722b9125</errorID>
      <errorWord>(</errorWord>
      <group>L1_Format</group>
      <groupName>格式问题</groupName>
      <ability>L2_HalfPunc_CN</ability>
      <abilityName>全半角问题</abilityName>
      <candidateList>
        <item>（</item>
      </candidateList>
      <explain>文本全半角错误。</explain>
      <paraID>35DC806A</paraID>
      <start>125</start>
      <end>126</end>
      <status>ignored</status>
      <modifiedWord/>
      <trackRevisions>false</trackRevisions>
    </reviewItem>
    <reviewItem>
      <errorID>6abd284a-40ff-4c45-a205-b9a19655cd7e</errorID>
      <errorWord>)</errorWord>
      <group>L1_Format</group>
      <groupName>格式问题</groupName>
      <ability>L2_HalfPunc_CN</ability>
      <abilityName>全半角问题</abilityName>
      <candidateList>
        <item>）</item>
      </candidateList>
      <explain>文本全半角错误。</explain>
      <paraID>35DC806A</paraID>
      <start>137</start>
      <end>138</end>
      <status>ignored</status>
      <modifiedWord/>
      <trackRevisions>false</trackRevisions>
    </reviewItem>
    <reviewItem>
      <errorID>40b12c56-c9b8-458d-8b7e-c6b8bb9129d4</errorID>
      <errorWord>(</errorWord>
      <group>L1_Format</group>
      <groupName>格式问题</groupName>
      <ability>L2_HalfPunc_CN</ability>
      <abilityName>全半角问题</abilityName>
      <candidateList>
        <item>（</item>
      </candidateList>
      <explain>文本全半角错误。</explain>
      <paraID>35DC806A</paraID>
      <start>142</start>
      <end>143</end>
      <status>ignored</status>
      <modifiedWord/>
      <trackRevisions>false</trackRevisions>
    </reviewItem>
    <reviewItem>
      <errorID>f17860a4-594e-4474-8103-e9be52c8ab5f</errorID>
      <errorWord>)</errorWord>
      <group>L1_Format</group>
      <groupName>格式问题</groupName>
      <ability>L2_HalfPunc_CN</ability>
      <abilityName>全半角问题</abilityName>
      <candidateList>
        <item>）</item>
      </candidateList>
      <explain>文本全半角错误。</explain>
      <paraID>35DC806A</paraID>
      <start>154</start>
      <end>155</end>
      <status>ignored</status>
      <modifiedWord/>
      <trackRevisions>false</trackRevisions>
    </reviewItem>
    <reviewItem>
      <errorID>af07d305-7e09-4a30-9c8e-d42ebf41a97d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35DC806A</paraID>
      <start>212</start>
      <end>213</end>
      <status>ignored</status>
      <modifiedWord/>
      <trackRevisions>false</trackRevisions>
    </reviewItem>
    <reviewItem>
      <errorID>b2909c1d-5081-4370-a8e9-fc3dff0cdf4b</errorID>
      <errorWord>(</errorWord>
      <group>L1_Format</group>
      <groupName>格式问题</groupName>
      <ability>L2_HalfPunc_CN</ability>
      <abilityName>全半角问题</abilityName>
      <candidateList>
        <item>（</item>
      </candidateList>
      <explain>文本全半角错误。</explain>
      <paraID>35DC806B</paraID>
      <start>15</start>
      <end>16</end>
      <status>ignored</status>
      <modifiedWord/>
      <trackRevisions>false</trackRevisions>
    </reviewItem>
    <reviewItem>
      <errorID>ee6dfb04-7bdb-41a1-aa8a-8d25589f6001</errorID>
      <errorWord>)</errorWord>
      <group>L1_Format</group>
      <groupName>格式问题</groupName>
      <ability>L2_HalfPunc_CN</ability>
      <abilityName>全半角问题</abilityName>
      <candidateList>
        <item>）</item>
      </candidateList>
      <explain>文本全半角错误。</explain>
      <paraID>35DC806B</paraID>
      <start>21</start>
      <end>22</end>
      <status>ignored</status>
      <modifiedWord/>
      <trackRevisions>false</trackRevisions>
    </reviewItem>
    <reviewItem>
      <errorID>6710a3e1-b1fc-48d9-a68a-57d17e50f8a2</errorID>
      <errorWord>*</errorWord>
      <group>L1_Punc</group>
      <groupName>标点问题</groupName>
      <ability>L2_Punc_CN</ability>
      <abilityName>标点符号问题</abilityName>
      <candidateList/>
      <explain/>
      <paraID>35DC807B</paraID>
      <start>0</start>
      <end>1</end>
      <status>ignored</status>
      <modifiedWord/>
      <trackRevisions>false</trackRevisions>
    </reviewItem>
    <reviewItem>
      <errorID>103bfd45-3194-4f97-b238-ff3b2d87107f</errorID>
      <errorWord>、以及</errorWord>
      <group>L1_Punc</group>
      <groupName>标点问题</groupName>
      <ability>L2_Punc_CN</ability>
      <abilityName>标点符号问题</abilityName>
      <candidateList>
        <item>，以及</item>
      </candidateList>
      <explain>连接词前后不宜使用顿号，建议使用逗号。</explain>
      <paraID>35DC80AC</paraID>
      <start>40</start>
      <end>43</end>
      <status>ignored</status>
      <modifiedWord/>
      <trackRevisions>false</trackRevisions>
    </reviewItem>
    <reviewItem>
      <errorID>96083745-9cd5-42cb-b32f-fdf4c68498a2</errorID>
      <errorWord>(</errorWord>
      <group>L1_Format</group>
      <groupName>格式问题</groupName>
      <ability>L2_HalfPunc_CN</ability>
      <abilityName>全半角问题</abilityName>
      <candidateList>
        <item>（</item>
      </candidateList>
      <explain>文本全半角错误。</explain>
      <paraID>35DC80BA</paraID>
      <start>24</start>
      <end>25</end>
      <status>ignored</status>
      <modifiedWord/>
      <trackRevisions>false</trackRevisions>
    </reviewItem>
    <reviewItem>
      <errorID>12c1c87a-be80-4cbe-926e-5cac012f5f8c</errorID>
      <errorWord>)</errorWord>
      <group>L1_Format</group>
      <groupName>格式问题</groupName>
      <ability>L2_HalfPunc_CN</ability>
      <abilityName>全半角问题</abilityName>
      <candidateList>
        <item>）</item>
      </candidateList>
      <explain>文本全半角错误。</explain>
      <paraID>35DC80BA</paraID>
      <start>33</start>
      <end>34</end>
      <status>ignored</status>
      <modifiedWord/>
      <trackRevisions>false</trackRevisions>
    </reviewItem>
    <reviewItem>
      <errorID>7a91f19a-ad54-4c1e-9755-8986d9fdcb65</errorID>
      <errorWord>(</errorWord>
      <group>L1_Format</group>
      <groupName>格式问题</groupName>
      <ability>L2_HalfPunc_CN</ability>
      <abilityName>全半角问题</abilityName>
      <candidateList>
        <item>（</item>
      </candidateList>
      <explain>文本全半角错误。</explain>
      <paraID>35DC810F</paraID>
      <start>34</start>
      <end>35</end>
      <status>ignored</status>
      <modifiedWord/>
      <trackRevisions>false</trackRevisions>
    </reviewItem>
    <reviewItem>
      <errorID>2e971ff9-8c64-4c48-92da-163fa83a5ac9</errorID>
      <errorWord>)</errorWord>
      <group>L1_Format</group>
      <groupName>格式问题</groupName>
      <ability>L2_HalfPunc_CN</ability>
      <abilityName>全半角问题</abilityName>
      <candidateList>
        <item>）</item>
      </candidateList>
      <explain>文本全半角错误。</explain>
      <paraID>35DC810F</paraID>
      <start>41</start>
      <end>42</end>
      <status>ignored</status>
      <modifiedWord/>
      <trackRevisions>false</trackRevisions>
    </reviewItem>
    <reviewItem>
      <errorID>3af635d7-a1f2-4818-9d6f-53e4ca413d18</errorID>
      <errorWord>(</errorWord>
      <group>L1_Format</group>
      <groupName>格式问题</groupName>
      <ability>L2_HalfPunc_CN</ability>
      <abilityName>全半角问题</abilityName>
      <candidateList>
        <item>（</item>
      </candidateList>
      <explain>文本全半角错误。</explain>
      <paraID>35DC812C</paraID>
      <start>25</start>
      <end>26</end>
      <status>ignored</status>
      <modifiedWord/>
      <trackRevisions>false</trackRevisions>
    </reviewItem>
    <reviewItem>
      <errorID>39347549-bd54-41b6-993f-faa388df459c</errorID>
      <errorWord>)</errorWord>
      <group>L1_Format</group>
      <groupName>格式问题</groupName>
      <ability>L2_HalfPunc_CN</ability>
      <abilityName>全半角问题</abilityName>
      <candidateList>
        <item>）</item>
      </candidateList>
      <explain>文本全半角错误。</explain>
      <paraID>35DC812C</paraID>
      <start>32</start>
      <end>33</end>
      <status>ignored</status>
      <modifiedWord/>
      <trackRevisions>false</trackRevisions>
    </reviewItem>
  </reviewItems>
  <config/>
</contractReview>
</file>

<file path=customXml/itemProps1.xml><?xml version="1.0" encoding="utf-8"?>
<ds:datastoreItem xmlns:ds="http://schemas.openxmlformats.org/officeDocument/2006/customXml" ds:itemID="{b5be14cb-ece4-405a-a3e4-5b1bc4e2ffbd}">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3976</Words>
  <Characters>4939</Characters>
  <Lines>0</Lines>
  <Paragraphs>0</Paragraphs>
  <TotalTime>248</TotalTime>
  <ScaleCrop>false</ScaleCrop>
  <LinksUpToDate>false</LinksUpToDate>
  <CharactersWithSpaces>5121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2026-05-24T11:47:00Z</dcterms:created>
  <dc:creator>HONOR</dc:creator>
  <cp:lastModifiedBy>俞静欢</cp:lastModifiedBy>
  <dcterms:modified xsi:type="dcterms:W3CDTF">2026-06-20T09:35:24Z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eyJoZGlkIjoiYmQ3NjQxYmZmN2ZkODIxYWNiNTEzMzQyMTZmNzQ1MmMiLCJ1c2VySWQiOiIxMDYyMTE3MzY2In0=</vt:lpwstr>
  </property>
  <property fmtid="{D5CDD505-2E9C-101B-9397-08002B2CF9AE}" pid="4" name="ICV">
    <vt:lpwstr>DD87BDE9B3F649B3958240259BCD86BE_12</vt:lpwstr>
  </property>
</Properties>
</file>