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50DC53">
      <w:pPr>
        <w:jc w:val="center"/>
        <w:rPr>
          <w:rFonts w:hint="eastAsia" w:ascii="Times New Roman" w:hAnsi="Times New Roman" w:eastAsia="隶书" w:cs="Times New Roman"/>
          <w:b/>
          <w:bCs/>
          <w:sz w:val="36"/>
          <w:szCs w:val="24"/>
          <w14:ligatures w14:val="none"/>
        </w:rPr>
      </w:pPr>
      <w:r>
        <w:rPr>
          <w:rFonts w:hint="eastAsia" w:ascii="Times New Roman" w:hAnsi="Times New Roman" w:eastAsia="隶书" w:cs="Times New Roman"/>
          <w:b/>
          <w:bCs/>
          <w:sz w:val="36"/>
          <w:szCs w:val="24"/>
          <w14:ligatures w14:val="none"/>
        </w:rPr>
        <w:t>南 京 师 范 大 学</w:t>
      </w:r>
    </w:p>
    <w:p w14:paraId="02D10200">
      <w:pPr>
        <w:jc w:val="center"/>
        <w:rPr>
          <w:rFonts w:hint="eastAsia" w:ascii="Times New Roman" w:hAnsi="Times New Roman" w:eastAsia="隶书" w:cs="Times New Roman"/>
          <w:b/>
          <w:bCs/>
          <w:sz w:val="44"/>
          <w:szCs w:val="24"/>
          <w14:ligatures w14:val="none"/>
        </w:rPr>
      </w:pPr>
      <w:r>
        <w:rPr>
          <w:rFonts w:hint="eastAsia" w:ascii="Times New Roman" w:hAnsi="Times New Roman" w:eastAsia="隶书" w:cs="Times New Roman"/>
          <w:b/>
          <w:bCs/>
          <w:sz w:val="36"/>
          <w:szCs w:val="24"/>
          <w14:ligatures w14:val="none"/>
        </w:rPr>
        <w:t>研 究 生 课 程 学 习 考 试 成 绩 单</w:t>
      </w:r>
    </w:p>
    <w:p w14:paraId="1CB6B93F">
      <w:pPr>
        <w:jc w:val="center"/>
        <w:rPr>
          <w:rFonts w:hint="eastAsia" w:ascii="Times New Roman" w:hAnsi="Times New Roman" w:eastAsia="宋体" w:cs="Times New Roman"/>
          <w:sz w:val="30"/>
          <w:szCs w:val="24"/>
          <w14:ligatures w14:val="none"/>
        </w:rPr>
      </w:pPr>
      <w:r>
        <w:rPr>
          <w:rFonts w:hint="eastAsia" w:ascii="Times New Roman" w:hAnsi="Times New Roman" w:eastAsia="隶书" w:cs="Times New Roman"/>
          <w:b/>
          <w:bCs/>
          <w:sz w:val="30"/>
          <w:szCs w:val="24"/>
          <w14:ligatures w14:val="none"/>
        </w:rPr>
        <w:t>（试卷封面）</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2357"/>
        <w:gridCol w:w="1596"/>
        <w:gridCol w:w="915"/>
        <w:gridCol w:w="900"/>
        <w:gridCol w:w="1026"/>
      </w:tblGrid>
      <w:tr w14:paraId="3845B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0" w:hRule="atLeast"/>
        </w:trPr>
        <w:tc>
          <w:tcPr>
            <w:tcW w:w="1728" w:type="dxa"/>
            <w:noWrap w:val="0"/>
            <w:vAlign w:val="center"/>
          </w:tcPr>
          <w:p w14:paraId="25B9A020">
            <w:pPr>
              <w:ind w:firstLine="236" w:firstLineChars="98"/>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 xml:space="preserve">学  院 </w:t>
            </w:r>
          </w:p>
        </w:tc>
        <w:tc>
          <w:tcPr>
            <w:tcW w:w="2357" w:type="dxa"/>
            <w:noWrap w:val="0"/>
            <w:vAlign w:val="center"/>
          </w:tcPr>
          <w:p w14:paraId="15A4D5F7">
            <w:pPr>
              <w:jc w:val="center"/>
              <w:rPr>
                <w:rFonts w:hint="default"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心理学院</w:t>
            </w:r>
          </w:p>
        </w:tc>
        <w:tc>
          <w:tcPr>
            <w:tcW w:w="1596" w:type="dxa"/>
            <w:noWrap w:val="0"/>
            <w:vAlign w:val="center"/>
          </w:tcPr>
          <w:p w14:paraId="775AFE22">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专 业</w:t>
            </w:r>
          </w:p>
        </w:tc>
        <w:tc>
          <w:tcPr>
            <w:tcW w:w="2841" w:type="dxa"/>
            <w:gridSpan w:val="3"/>
            <w:noWrap w:val="0"/>
            <w:vAlign w:val="center"/>
          </w:tcPr>
          <w:p w14:paraId="7B110B9B">
            <w:pPr>
              <w:jc w:val="center"/>
              <w:rPr>
                <w:rFonts w:hint="default"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心理学</w:t>
            </w:r>
          </w:p>
        </w:tc>
      </w:tr>
      <w:tr w14:paraId="6655A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728" w:type="dxa"/>
            <w:noWrap w:val="0"/>
            <w:vAlign w:val="center"/>
          </w:tcPr>
          <w:p w14:paraId="3B8E437F">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研究生姓名</w:t>
            </w:r>
          </w:p>
        </w:tc>
        <w:tc>
          <w:tcPr>
            <w:tcW w:w="2357" w:type="dxa"/>
            <w:noWrap w:val="0"/>
            <w:vAlign w:val="center"/>
          </w:tcPr>
          <w:p w14:paraId="50DB08CC">
            <w:pPr>
              <w:jc w:val="center"/>
              <w:rPr>
                <w:rFonts w:hint="eastAsia"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金晓慧</w:t>
            </w:r>
          </w:p>
        </w:tc>
        <w:tc>
          <w:tcPr>
            <w:tcW w:w="1596" w:type="dxa"/>
            <w:noWrap w:val="0"/>
            <w:vAlign w:val="center"/>
          </w:tcPr>
          <w:p w14:paraId="56ED69A8">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学 号</w:t>
            </w:r>
          </w:p>
        </w:tc>
        <w:tc>
          <w:tcPr>
            <w:tcW w:w="2841" w:type="dxa"/>
            <w:gridSpan w:val="3"/>
            <w:noWrap w:val="0"/>
            <w:vAlign w:val="center"/>
          </w:tcPr>
          <w:p w14:paraId="28ED5E62">
            <w:pPr>
              <w:jc w:val="center"/>
              <w:rPr>
                <w:rFonts w:hint="default"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252302006</w:t>
            </w:r>
          </w:p>
        </w:tc>
      </w:tr>
      <w:tr w14:paraId="41D5E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trPr>
        <w:tc>
          <w:tcPr>
            <w:tcW w:w="1728" w:type="dxa"/>
            <w:noWrap w:val="0"/>
            <w:vAlign w:val="center"/>
          </w:tcPr>
          <w:p w14:paraId="1D59A653">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课 程 名 称</w:t>
            </w:r>
          </w:p>
        </w:tc>
        <w:tc>
          <w:tcPr>
            <w:tcW w:w="6794" w:type="dxa"/>
            <w:gridSpan w:val="5"/>
            <w:noWrap w:val="0"/>
            <w:vAlign w:val="center"/>
          </w:tcPr>
          <w:p w14:paraId="4CE762FB">
            <w:pPr>
              <w:jc w:val="center"/>
              <w:rPr>
                <w:rFonts w:hint="default" w:ascii="Times New Roman" w:hAnsi="Times New Roman" w:eastAsia="宋体" w:cs="Times New Roman"/>
                <w:b/>
                <w:bCs/>
                <w:sz w:val="24"/>
                <w:szCs w:val="24"/>
                <w:lang w:val="en-US" w:eastAsia="zh-CN"/>
                <w14:ligatures w14:val="none"/>
              </w:rPr>
            </w:pPr>
            <w:r>
              <w:rPr>
                <w:rFonts w:hint="default" w:ascii="Times New Roman" w:hAnsi="Times New Roman" w:eastAsia="宋体" w:cs="Times New Roman"/>
                <w:b/>
                <w:bCs/>
                <w:sz w:val="24"/>
                <w:szCs w:val="24"/>
                <w:lang w:val="en-US" w:eastAsia="zh-CN"/>
                <w14:ligatures w14:val="none"/>
              </w:rPr>
              <w:t>R语言及其在心理学研究中的应用</w:t>
            </w:r>
          </w:p>
        </w:tc>
      </w:tr>
      <w:tr w14:paraId="7A02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728" w:type="dxa"/>
            <w:noWrap w:val="0"/>
            <w:vAlign w:val="center"/>
          </w:tcPr>
          <w:p w14:paraId="3ACB89C6">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授 课 时 间</w:t>
            </w:r>
          </w:p>
        </w:tc>
        <w:tc>
          <w:tcPr>
            <w:tcW w:w="2357" w:type="dxa"/>
            <w:noWrap w:val="0"/>
            <w:vAlign w:val="center"/>
          </w:tcPr>
          <w:p w14:paraId="45C738EF">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lang w:val="en-US" w:eastAsia="zh-CN"/>
                <w14:ligatures w14:val="none"/>
              </w:rPr>
              <w:t>2025-2026</w:t>
            </w:r>
            <w:r>
              <w:rPr>
                <w:rFonts w:hint="eastAsia" w:ascii="Times New Roman" w:hAnsi="Times New Roman" w:eastAsia="宋体" w:cs="Times New Roman"/>
                <w:b/>
                <w:bCs/>
                <w:sz w:val="24"/>
                <w:szCs w:val="24"/>
                <w14:ligatures w14:val="none"/>
              </w:rPr>
              <w:t xml:space="preserve"> 学年度  </w:t>
            </w:r>
            <w:r>
              <w:rPr>
                <w:rFonts w:hint="eastAsia" w:ascii="Times New Roman" w:hAnsi="Times New Roman" w:eastAsia="宋体" w:cs="Times New Roman"/>
                <w:b/>
                <w:bCs/>
                <w:sz w:val="24"/>
                <w:szCs w:val="24"/>
                <w:lang w:val="en-US" w:eastAsia="zh-CN"/>
                <w14:ligatures w14:val="none"/>
              </w:rPr>
              <w:t>第二</w:t>
            </w:r>
            <w:r>
              <w:rPr>
                <w:rFonts w:hint="eastAsia" w:ascii="Times New Roman" w:hAnsi="Times New Roman" w:eastAsia="宋体" w:cs="Times New Roman"/>
                <w:b/>
                <w:bCs/>
                <w:sz w:val="24"/>
                <w:szCs w:val="24"/>
                <w14:ligatures w14:val="none"/>
              </w:rPr>
              <w:t>学期</w:t>
            </w:r>
          </w:p>
        </w:tc>
        <w:tc>
          <w:tcPr>
            <w:tcW w:w="1596" w:type="dxa"/>
            <w:noWrap w:val="0"/>
            <w:vAlign w:val="center"/>
          </w:tcPr>
          <w:p w14:paraId="1742CE71">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周学时</w:t>
            </w:r>
          </w:p>
        </w:tc>
        <w:tc>
          <w:tcPr>
            <w:tcW w:w="915" w:type="dxa"/>
            <w:noWrap w:val="0"/>
            <w:vAlign w:val="center"/>
          </w:tcPr>
          <w:p w14:paraId="547B4642">
            <w:pPr>
              <w:jc w:val="center"/>
              <w:rPr>
                <w:rFonts w:hint="eastAsia"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3</w:t>
            </w:r>
          </w:p>
        </w:tc>
        <w:tc>
          <w:tcPr>
            <w:tcW w:w="900" w:type="dxa"/>
            <w:noWrap w:val="0"/>
            <w:vAlign w:val="center"/>
          </w:tcPr>
          <w:p w14:paraId="50ED57BD">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学分</w:t>
            </w:r>
          </w:p>
        </w:tc>
        <w:tc>
          <w:tcPr>
            <w:tcW w:w="1026" w:type="dxa"/>
            <w:noWrap w:val="0"/>
            <w:vAlign w:val="center"/>
          </w:tcPr>
          <w:p w14:paraId="37F1B858">
            <w:pPr>
              <w:jc w:val="center"/>
              <w:rPr>
                <w:rFonts w:hint="eastAsia" w:ascii="Times New Roman" w:hAnsi="Times New Roman" w:eastAsia="宋体" w:cs="Times New Roman"/>
                <w:b/>
                <w:bCs/>
                <w:sz w:val="24"/>
                <w:szCs w:val="24"/>
                <w:lang w:val="en-US" w:eastAsia="zh-CN"/>
                <w14:ligatures w14:val="none"/>
              </w:rPr>
            </w:pPr>
            <w:r>
              <w:rPr>
                <w:rFonts w:hint="eastAsia" w:ascii="Times New Roman" w:hAnsi="Times New Roman" w:eastAsia="宋体" w:cs="Times New Roman"/>
                <w:b/>
                <w:bCs/>
                <w:sz w:val="24"/>
                <w:szCs w:val="24"/>
                <w:lang w:val="en-US" w:eastAsia="zh-CN"/>
                <w14:ligatures w14:val="none"/>
              </w:rPr>
              <w:t>3</w:t>
            </w:r>
          </w:p>
        </w:tc>
      </w:tr>
      <w:tr w14:paraId="38540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41" w:hRule="atLeast"/>
        </w:trPr>
        <w:tc>
          <w:tcPr>
            <w:tcW w:w="1728" w:type="dxa"/>
            <w:noWrap w:val="0"/>
            <w:vAlign w:val="center"/>
          </w:tcPr>
          <w:p w14:paraId="41CBF592">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简</w:t>
            </w:r>
          </w:p>
          <w:p w14:paraId="769323B6">
            <w:pPr>
              <w:jc w:val="center"/>
              <w:rPr>
                <w:rFonts w:hint="eastAsia" w:ascii="Times New Roman" w:hAnsi="Times New Roman" w:eastAsia="宋体" w:cs="Times New Roman"/>
                <w:b/>
                <w:bCs/>
                <w:sz w:val="24"/>
                <w:szCs w:val="24"/>
                <w14:ligatures w14:val="none"/>
              </w:rPr>
            </w:pPr>
          </w:p>
          <w:p w14:paraId="22F75526">
            <w:pPr>
              <w:jc w:val="center"/>
              <w:rPr>
                <w:rFonts w:hint="eastAsia" w:ascii="Times New Roman" w:hAnsi="Times New Roman" w:eastAsia="宋体" w:cs="Times New Roman"/>
                <w:b/>
                <w:bCs/>
                <w:sz w:val="24"/>
                <w:szCs w:val="24"/>
                <w14:ligatures w14:val="none"/>
              </w:rPr>
            </w:pPr>
          </w:p>
          <w:p w14:paraId="04A2B57C">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要</w:t>
            </w:r>
          </w:p>
          <w:p w14:paraId="7A49AA0F">
            <w:pPr>
              <w:jc w:val="center"/>
              <w:rPr>
                <w:rFonts w:hint="eastAsia" w:ascii="Times New Roman" w:hAnsi="Times New Roman" w:eastAsia="宋体" w:cs="Times New Roman"/>
                <w:b/>
                <w:bCs/>
                <w:sz w:val="24"/>
                <w:szCs w:val="24"/>
                <w14:ligatures w14:val="none"/>
              </w:rPr>
            </w:pPr>
          </w:p>
          <w:p w14:paraId="06374A9D">
            <w:pPr>
              <w:jc w:val="center"/>
              <w:rPr>
                <w:rFonts w:hint="eastAsia" w:ascii="Times New Roman" w:hAnsi="Times New Roman" w:eastAsia="宋体" w:cs="Times New Roman"/>
                <w:b/>
                <w:bCs/>
                <w:sz w:val="24"/>
                <w:szCs w:val="24"/>
                <w14:ligatures w14:val="none"/>
              </w:rPr>
            </w:pPr>
          </w:p>
          <w:p w14:paraId="76808928">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评</w:t>
            </w:r>
          </w:p>
          <w:p w14:paraId="04D205DF">
            <w:pPr>
              <w:jc w:val="center"/>
              <w:rPr>
                <w:rFonts w:hint="eastAsia" w:ascii="Times New Roman" w:hAnsi="Times New Roman" w:eastAsia="宋体" w:cs="Times New Roman"/>
                <w:b/>
                <w:bCs/>
                <w:sz w:val="24"/>
                <w:szCs w:val="24"/>
                <w14:ligatures w14:val="none"/>
              </w:rPr>
            </w:pPr>
          </w:p>
          <w:p w14:paraId="5E095F82">
            <w:pPr>
              <w:jc w:val="center"/>
              <w:rPr>
                <w:rFonts w:hint="eastAsia" w:ascii="Times New Roman" w:hAnsi="Times New Roman" w:eastAsia="宋体" w:cs="Times New Roman"/>
                <w:b/>
                <w:bCs/>
                <w:sz w:val="24"/>
                <w:szCs w:val="24"/>
                <w14:ligatures w14:val="none"/>
              </w:rPr>
            </w:pPr>
          </w:p>
          <w:p w14:paraId="1EB36183">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语</w:t>
            </w:r>
          </w:p>
        </w:tc>
        <w:tc>
          <w:tcPr>
            <w:tcW w:w="6794" w:type="dxa"/>
            <w:gridSpan w:val="5"/>
            <w:noWrap w:val="0"/>
            <w:vAlign w:val="center"/>
          </w:tcPr>
          <w:p w14:paraId="7CFC8628">
            <w:pPr>
              <w:jc w:val="center"/>
              <w:rPr>
                <w:rFonts w:ascii="Times New Roman" w:hAnsi="Times New Roman" w:eastAsia="宋体" w:cs="Times New Roman"/>
                <w:b/>
                <w:bCs/>
                <w:sz w:val="24"/>
                <w:szCs w:val="24"/>
                <w14:ligatures w14:val="none"/>
              </w:rPr>
            </w:pPr>
          </w:p>
        </w:tc>
      </w:tr>
      <w:tr w14:paraId="564F3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4" w:hRule="atLeast"/>
        </w:trPr>
        <w:tc>
          <w:tcPr>
            <w:tcW w:w="1728" w:type="dxa"/>
            <w:noWrap w:val="0"/>
            <w:vAlign w:val="center"/>
          </w:tcPr>
          <w:p w14:paraId="2B7F7D43">
            <w:pPr>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考 核 论 题</w:t>
            </w:r>
          </w:p>
        </w:tc>
        <w:tc>
          <w:tcPr>
            <w:tcW w:w="6794" w:type="dxa"/>
            <w:gridSpan w:val="5"/>
            <w:noWrap w:val="0"/>
            <w:vAlign w:val="center"/>
          </w:tcPr>
          <w:p w14:paraId="7955799F">
            <w:pPr>
              <w:jc w:val="center"/>
              <w:rPr>
                <w:rFonts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对</w:t>
            </w:r>
            <w:r>
              <w:rPr>
                <w:rFonts w:hint="eastAsia" w:ascii="Times New Roman" w:hAnsi="Times New Roman" w:eastAsia="宋体" w:cs="Times New Roman"/>
                <w:b/>
                <w:bCs/>
                <w:sz w:val="24"/>
                <w:szCs w:val="24"/>
                <w:lang w:val="en-US" w:eastAsia="zh-CN"/>
                <w14:ligatures w14:val="none"/>
              </w:rPr>
              <w:t xml:space="preserve">Lin et al., </w:t>
            </w:r>
            <w:r>
              <w:rPr>
                <w:rFonts w:hint="eastAsia" w:ascii="Times New Roman" w:hAnsi="Times New Roman" w:eastAsia="宋体" w:cs="Times New Roman"/>
                <w:b/>
                <w:bCs/>
                <w:sz w:val="24"/>
                <w:szCs w:val="24"/>
                <w14:ligatures w14:val="none"/>
              </w:rPr>
              <w:t>(</w:t>
            </w:r>
            <w:r>
              <w:rPr>
                <w:rFonts w:hint="eastAsia" w:ascii="Times New Roman" w:hAnsi="Times New Roman" w:eastAsia="宋体" w:cs="Times New Roman"/>
                <w:b/>
                <w:bCs/>
                <w:sz w:val="24"/>
                <w:szCs w:val="24"/>
                <w:lang w:val="en-US" w:eastAsia="zh-CN"/>
                <w14:ligatures w14:val="none"/>
              </w:rPr>
              <w:t>2020</w:t>
            </w:r>
            <w:r>
              <w:rPr>
                <w:rFonts w:hint="eastAsia" w:ascii="Times New Roman" w:hAnsi="Times New Roman" w:eastAsia="宋体" w:cs="Times New Roman"/>
                <w:b/>
                <w:bCs/>
                <w:sz w:val="24"/>
                <w:szCs w:val="24"/>
                <w14:ligatures w14:val="none"/>
              </w:rPr>
              <w:t>)研究结果的计算可复现性检验</w:t>
            </w:r>
          </w:p>
        </w:tc>
      </w:tr>
      <w:tr w14:paraId="3DE2D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70" w:hRule="atLeast"/>
        </w:trPr>
        <w:tc>
          <w:tcPr>
            <w:tcW w:w="1728" w:type="dxa"/>
            <w:noWrap w:val="0"/>
            <w:vAlign w:val="center"/>
          </w:tcPr>
          <w:p w14:paraId="6E2445EA">
            <w:pPr>
              <w:ind w:firstLine="241" w:firstLineChars="100"/>
              <w:jc w:val="center"/>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总评成绩</w:t>
            </w:r>
          </w:p>
          <w:p w14:paraId="0451A3D9">
            <w:pPr>
              <w:jc w:val="center"/>
              <w:rPr>
                <w:rFonts w:hint="eastAsia" w:ascii="Times New Roman" w:hAnsi="Times New Roman" w:eastAsia="宋体" w:cs="Times New Roman"/>
                <w:b/>
                <w:bCs/>
                <w:szCs w:val="21"/>
                <w14:ligatures w14:val="none"/>
              </w:rPr>
            </w:pPr>
            <w:r>
              <w:rPr>
                <w:rFonts w:hint="eastAsia" w:ascii="Times New Roman" w:hAnsi="Times New Roman" w:eastAsia="宋体" w:cs="Times New Roman"/>
                <w:b/>
                <w:bCs/>
                <w:szCs w:val="21"/>
                <w14:ligatures w14:val="none"/>
              </w:rPr>
              <w:t>（含平时成绩）</w:t>
            </w:r>
          </w:p>
        </w:tc>
        <w:tc>
          <w:tcPr>
            <w:tcW w:w="6794" w:type="dxa"/>
            <w:gridSpan w:val="5"/>
            <w:noWrap w:val="0"/>
            <w:vAlign w:val="center"/>
          </w:tcPr>
          <w:p w14:paraId="03FAB43F">
            <w:pPr>
              <w:jc w:val="center"/>
              <w:rPr>
                <w:rFonts w:ascii="Times New Roman" w:hAnsi="Times New Roman" w:eastAsia="宋体" w:cs="Times New Roman"/>
                <w:b/>
                <w:bCs/>
                <w:sz w:val="24"/>
                <w:szCs w:val="24"/>
                <w14:ligatures w14:val="none"/>
              </w:rPr>
            </w:pPr>
          </w:p>
        </w:tc>
      </w:tr>
      <w:tr w14:paraId="0B9DF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728" w:type="dxa"/>
            <w:noWrap w:val="0"/>
            <w:vAlign w:val="center"/>
          </w:tcPr>
          <w:p w14:paraId="3FDC995B">
            <w:pPr>
              <w:ind w:firstLine="482" w:firstLineChars="200"/>
              <w:rPr>
                <w:rFonts w:hint="eastAsia"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备注</w:t>
            </w:r>
          </w:p>
        </w:tc>
        <w:tc>
          <w:tcPr>
            <w:tcW w:w="6794" w:type="dxa"/>
            <w:gridSpan w:val="5"/>
            <w:noWrap w:val="0"/>
            <w:vAlign w:val="top"/>
          </w:tcPr>
          <w:p w14:paraId="3CB42535">
            <w:pPr>
              <w:widowControl/>
              <w:jc w:val="left"/>
              <w:rPr>
                <w:rFonts w:ascii="Times New Roman" w:hAnsi="Times New Roman" w:eastAsia="宋体" w:cs="Times New Roman"/>
                <w:b/>
                <w:bCs/>
                <w:sz w:val="24"/>
                <w:szCs w:val="24"/>
                <w14:ligatures w14:val="none"/>
              </w:rPr>
            </w:pPr>
          </w:p>
          <w:p w14:paraId="685B6336">
            <w:pPr>
              <w:ind w:left="2742"/>
              <w:rPr>
                <w:rFonts w:hint="eastAsia" w:ascii="Times New Roman" w:hAnsi="Times New Roman" w:eastAsia="宋体" w:cs="Times New Roman"/>
                <w:b/>
                <w:bCs/>
                <w:sz w:val="24"/>
                <w:szCs w:val="24"/>
                <w14:ligatures w14:val="none"/>
              </w:rPr>
            </w:pPr>
          </w:p>
        </w:tc>
      </w:tr>
    </w:tbl>
    <w:p w14:paraId="17774DB3">
      <w:pPr>
        <w:ind w:firstLine="1054" w:firstLineChars="500"/>
        <w:rPr>
          <w:rFonts w:hint="eastAsia" w:ascii="Times New Roman" w:hAnsi="Times New Roman" w:eastAsia="宋体" w:cs="Times New Roman"/>
          <w:b/>
          <w:bCs/>
          <w:szCs w:val="24"/>
          <w14:ligatures w14:val="none"/>
        </w:rPr>
      </w:pPr>
    </w:p>
    <w:p w14:paraId="1AAC64DF">
      <w:pPr>
        <w:ind w:firstLine="5230" w:firstLineChars="2481"/>
        <w:rPr>
          <w:rFonts w:hint="eastAsia" w:ascii="Times New Roman" w:hAnsi="Times New Roman" w:eastAsia="宋体" w:cs="Times New Roman"/>
          <w:b/>
          <w:bCs/>
          <w:szCs w:val="24"/>
          <w14:ligatures w14:val="none"/>
        </w:rPr>
      </w:pPr>
      <w:r>
        <w:rPr>
          <w:rFonts w:hint="eastAsia" w:ascii="Times New Roman" w:hAnsi="Times New Roman" w:eastAsia="宋体" w:cs="Times New Roman"/>
          <w:b/>
          <w:bCs/>
          <w:szCs w:val="24"/>
          <w14:ligatures w14:val="none"/>
        </w:rPr>
        <w:t xml:space="preserve">任课教师签名：                             </w:t>
      </w:r>
    </w:p>
    <w:p w14:paraId="5C699A39">
      <w:pPr>
        <w:ind w:firstLine="1054" w:firstLineChars="500"/>
        <w:rPr>
          <w:rFonts w:hint="eastAsia" w:ascii="Times New Roman" w:hAnsi="Times New Roman" w:eastAsia="宋体" w:cs="Times New Roman"/>
          <w:szCs w:val="24"/>
          <w14:ligatures w14:val="none"/>
        </w:rPr>
      </w:pPr>
      <w:r>
        <w:rPr>
          <w:rFonts w:hint="eastAsia" w:ascii="Times New Roman" w:hAnsi="Times New Roman" w:eastAsia="宋体" w:cs="Times New Roman"/>
          <w:b/>
          <w:bCs/>
          <w:szCs w:val="24"/>
          <w14:ligatures w14:val="none"/>
        </w:rPr>
        <w:t xml:space="preserve">                                        批 改 日 期：</w:t>
      </w:r>
    </w:p>
    <w:p w14:paraId="0B5211E4">
      <w:pPr>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注：</w:t>
      </w:r>
    </w:p>
    <w:p w14:paraId="408C2C4E">
      <w:pPr>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1、以撰写论文为考核形式的，填写此表，综合考试不填；</w:t>
      </w:r>
    </w:p>
    <w:p w14:paraId="73647F1F">
      <w:pPr>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2、本成绩单由研究生填写基本内容，任课教师填写评语、成绩，签名后与作业（试卷）一并送院研究生秘书处；</w:t>
      </w:r>
    </w:p>
    <w:p w14:paraId="70EE3502">
      <w:pPr>
        <w:rPr>
          <w:rFonts w:hint="eastAsia" w:ascii="Times New Roman" w:hAnsi="Times New Roman" w:eastAsia="宋体" w:cs="Times New Roman"/>
          <w:b/>
          <w:bCs/>
          <w:sz w:val="32"/>
          <w:szCs w:val="32"/>
          <w14:ligatures w14:val="none"/>
        </w:rPr>
      </w:pPr>
      <w:r>
        <w:rPr>
          <w:rFonts w:hint="eastAsia" w:ascii="Times New Roman" w:hAnsi="Times New Roman" w:eastAsia="宋体" w:cs="Times New Roman"/>
          <w:szCs w:val="24"/>
          <w14:ligatures w14:val="none"/>
        </w:rPr>
        <w:t>3、学位课总评成绩须以百分制记分。</w:t>
      </w:r>
    </w:p>
    <w:p w14:paraId="17B85D08">
      <w:pPr>
        <w:spacing w:line="480" w:lineRule="auto"/>
        <w:jc w:val="center"/>
        <w:rPr>
          <w:rFonts w:hint="eastAsia" w:ascii="Times New Roman" w:hAnsi="Times New Roman" w:eastAsia="宋体" w:cs="Times New Roman"/>
          <w:b/>
          <w:bCs/>
          <w:sz w:val="32"/>
          <w:szCs w:val="32"/>
          <w14:ligatures w14:val="none"/>
        </w:rPr>
      </w:pPr>
      <w:r>
        <w:rPr>
          <w:rFonts w:hint="eastAsia" w:ascii="Times New Roman" w:hAnsi="Times New Roman" w:eastAsia="宋体" w:cs="Times New Roman"/>
          <w:b/>
          <w:bCs/>
          <w:sz w:val="32"/>
          <w:szCs w:val="32"/>
          <w14:ligatures w14:val="none"/>
        </w:rPr>
        <w:t>对</w:t>
      </w:r>
      <w:r>
        <w:rPr>
          <w:rFonts w:hint="eastAsia" w:ascii="Times New Roman" w:hAnsi="Times New Roman" w:eastAsia="宋体" w:cs="Times New Roman"/>
          <w:b/>
          <w:bCs/>
          <w:sz w:val="32"/>
          <w:szCs w:val="32"/>
          <w:lang w:val="en-US" w:eastAsia="zh-CN"/>
          <w14:ligatures w14:val="none"/>
        </w:rPr>
        <w:t xml:space="preserve">Lin et al., </w:t>
      </w:r>
      <w:r>
        <w:rPr>
          <w:rFonts w:hint="eastAsia" w:ascii="Times New Roman" w:hAnsi="Times New Roman" w:eastAsia="宋体" w:cs="Times New Roman"/>
          <w:b/>
          <w:bCs/>
          <w:i/>
          <w:iCs/>
          <w:sz w:val="32"/>
          <w:szCs w:val="32"/>
          <w14:ligatures w14:val="none"/>
        </w:rPr>
        <w:t>(</w:t>
      </w:r>
      <w:r>
        <w:rPr>
          <w:rFonts w:hint="eastAsia" w:ascii="Times New Roman" w:hAnsi="Times New Roman" w:eastAsia="宋体" w:cs="Times New Roman"/>
          <w:b/>
          <w:bCs/>
          <w:i/>
          <w:iCs/>
          <w:sz w:val="32"/>
          <w:szCs w:val="32"/>
          <w:lang w:val="en-US" w:eastAsia="zh-CN"/>
          <w14:ligatures w14:val="none"/>
        </w:rPr>
        <w:t>2020</w:t>
      </w:r>
      <w:r>
        <w:rPr>
          <w:rFonts w:hint="eastAsia" w:ascii="Times New Roman" w:hAnsi="Times New Roman" w:eastAsia="宋体" w:cs="Times New Roman"/>
          <w:b/>
          <w:bCs/>
          <w:i/>
          <w:iCs/>
          <w:sz w:val="32"/>
          <w:szCs w:val="32"/>
          <w14:ligatures w14:val="none"/>
        </w:rPr>
        <w:t>)</w:t>
      </w:r>
      <w:r>
        <w:rPr>
          <w:rFonts w:hint="eastAsia" w:ascii="Times New Roman" w:hAnsi="Times New Roman" w:eastAsia="宋体" w:cs="Times New Roman"/>
          <w:b/>
          <w:bCs/>
          <w:sz w:val="32"/>
          <w:szCs w:val="32"/>
          <w14:ligatures w14:val="none"/>
        </w:rPr>
        <w:t>研究结果的计算可复现性检验</w:t>
      </w:r>
    </w:p>
    <w:p w14:paraId="64479314">
      <w:pPr>
        <w:spacing w:line="480" w:lineRule="auto"/>
        <w:jc w:val="center"/>
        <w:rPr>
          <w:rFonts w:hint="eastAsia" w:ascii="Times New Roman" w:hAnsi="Times New Roman" w:eastAsia="宋体" w:cs="Times New Roman"/>
          <w:b/>
          <w:bCs/>
          <w:sz w:val="32"/>
          <w:szCs w:val="32"/>
          <w14:ligatures w14:val="none"/>
        </w:rPr>
      </w:pPr>
    </w:p>
    <w:p w14:paraId="4834E4F0">
      <w:pPr>
        <w:spacing w:line="360" w:lineRule="auto"/>
        <w:jc w:val="left"/>
        <w:rPr>
          <w:rFonts w:hint="eastAsia" w:ascii="Times New Roman" w:hAnsi="Times New Roman" w:eastAsia="宋体" w:cs="Times New Roman"/>
          <w:szCs w:val="21"/>
          <w14:ligatures w14:val="none"/>
        </w:rPr>
      </w:pPr>
      <w:r>
        <w:rPr>
          <w:rFonts w:hint="eastAsia" w:ascii="Times New Roman" w:hAnsi="Times New Roman" w:eastAsia="宋体" w:cs="Times New Roman"/>
          <w:b/>
          <w:bCs/>
          <w:szCs w:val="21"/>
          <w14:ligatures w14:val="none"/>
        </w:rPr>
        <w:t>摘要</w:t>
      </w:r>
      <w:r>
        <w:rPr>
          <w:rFonts w:hint="eastAsia" w:ascii="Times New Roman" w:hAnsi="Times New Roman" w:eastAsia="宋体" w:cs="Times New Roman"/>
          <w:szCs w:val="21"/>
          <w14:ligatures w14:val="none"/>
        </w:rPr>
        <w:t>：本研究对 Lin 等人（2020）关于认知努力影响决策谨慎性的研究进行了计算可复现性检验。原研究基于四项预注册实验，利用漂移扩散模型（Drift Diffusion Model, DDM）探讨高认知负荷是否通过改变决策策略影响后续任务表现。本研究使用作者公开的数据及分析代码，对四项独立研究分别建立两层贝叶斯层级模型，并进一步构建整合四项研究的三级贝叶斯层级模型，通过桥采样（bridge sampling）计算贝叶斯因子，对包含实验条件效应的完整模型与零模型进行比较。结果表明，各独立研究的效应方向、参数估计及效应量均与原研究保持一致。在整合分析中，重复10次桥采样均得到一致的参数估计（</w:t>
      </w:r>
      <w:r>
        <w:rPr>
          <w:rFonts w:hint="eastAsia" w:ascii="Times New Roman" w:hAnsi="Times New Roman" w:eastAsia="宋体" w:cs="Times New Roman"/>
          <w:i/>
          <w:iCs/>
          <w:szCs w:val="21"/>
          <w14:ligatures w14:val="none"/>
        </w:rPr>
        <w:t>b</w:t>
      </w:r>
      <w:r>
        <w:rPr>
          <w:rFonts w:hint="eastAsia" w:ascii="Times New Roman" w:hAnsi="Times New Roman" w:eastAsia="宋体" w:cs="Times New Roman"/>
          <w:szCs w:val="21"/>
          <w14:ligatures w14:val="none"/>
        </w:rPr>
        <w:t xml:space="preserve"> = −0.004，95% HPD = [−0.005, −0.002]；</w:t>
      </w:r>
      <w:r>
        <w:rPr>
          <w:rFonts w:hint="eastAsia" w:ascii="Times New Roman" w:hAnsi="Times New Roman" w:eastAsia="宋体" w:cs="Times New Roman"/>
          <w:i/>
          <w:iCs/>
          <w:szCs w:val="21"/>
          <w14:ligatures w14:val="none"/>
        </w:rPr>
        <w:t>d</w:t>
      </w:r>
      <w:r>
        <w:rPr>
          <w:rFonts w:hint="eastAsia" w:ascii="Times New Roman" w:hAnsi="Times New Roman" w:eastAsia="宋体" w:cs="Times New Roman"/>
          <w:i/>
          <w:iCs/>
          <w:szCs w:val="21"/>
          <w:lang w:val="en-US" w:eastAsia="zh-CN"/>
          <w14:ligatures w14:val="none"/>
        </w:rPr>
        <w:t xml:space="preserve"> </w:t>
      </w:r>
      <w:r>
        <w:rPr>
          <w:rFonts w:hint="eastAsia" w:ascii="Times New Roman" w:hAnsi="Times New Roman" w:eastAsia="宋体" w:cs="Times New Roman"/>
          <w:szCs w:val="21"/>
          <w14:ligatures w14:val="none"/>
        </w:rPr>
        <w:t>= −0.15，95% HPD = [−0.22, −0.07]），但贝叶斯因子（BF = 38.61–74.48）整体高于原研究报告值（BF = 29.10）。这一差异可能与边际似然估计过程中的数值近似误差及贝叶斯因子对计算细节的敏感性有关，但并未改变模型比较结果及理论推断。总体而言，本研究较高程度地复现了原研究的核心统计结果，也进一步说明在复杂贝叶斯模型中，参数估计的稳定性并不意味着模型比较指标能够完全一致。</w:t>
      </w:r>
    </w:p>
    <w:p w14:paraId="5E2318B9">
      <w:pPr>
        <w:spacing w:line="360" w:lineRule="auto"/>
        <w:jc w:val="left"/>
        <w:rPr>
          <w:rFonts w:hint="eastAsia" w:ascii="Times New Roman" w:hAnsi="Times New Roman" w:eastAsia="宋体" w:cs="Times New Roman"/>
          <w:szCs w:val="21"/>
          <w14:ligatures w14:val="none"/>
        </w:rPr>
      </w:pPr>
      <w:r>
        <w:rPr>
          <w:rFonts w:hint="eastAsia" w:ascii="Times New Roman" w:hAnsi="Times New Roman" w:eastAsia="宋体" w:cs="Times New Roman"/>
          <w:szCs w:val="21"/>
          <w14:ligatures w14:val="none"/>
        </w:rPr>
        <w:t>关键词：计算可复现性；贝叶斯层级模型；漂移扩散模型；决策边界；认知努力</w:t>
      </w:r>
    </w:p>
    <w:p w14:paraId="35DC7F8B">
      <w:pPr>
        <w:pStyle w:val="2"/>
        <w:bidi w:val="0"/>
      </w:pPr>
      <w:r>
        <w:t>1</w:t>
      </w:r>
      <w:r>
        <w:rPr>
          <w:rFonts w:hint="eastAsia"/>
        </w:rPr>
        <w:t xml:space="preserve"> 引言</w:t>
      </w:r>
    </w:p>
    <w:p w14:paraId="749ABD3D">
      <w:pPr>
        <w:pStyle w:val="3"/>
        <w:bidi w:val="0"/>
      </w:pPr>
      <w:r>
        <w:t>1</w:t>
      </w:r>
      <w:r>
        <w:rPr>
          <w:rFonts w:hint="eastAsia"/>
        </w:rPr>
        <w:t>.1 所选文献信息</w:t>
      </w:r>
    </w:p>
    <w:p w14:paraId="35DC7D72">
      <w:pPr>
        <w:spacing w:line="300" w:lineRule="auto"/>
        <w:jc w:val="center"/>
        <w:rPr>
          <w:rFonts w:ascii="Times New Roman" w:hAnsi="Times New Roman" w:eastAsia="宋体" w:cs="Times New Roman"/>
          <w:b/>
          <w:bCs/>
          <w:sz w:val="18"/>
          <w:szCs w:val="18"/>
          <w14:ligatures w14:val="none"/>
        </w:rPr>
      </w:pPr>
      <w:r>
        <w:rPr>
          <w:rFonts w:ascii="Times New Roman" w:hAnsi="Times New Roman" w:eastAsia="宋体" w:cs="Times New Roman"/>
          <w:b/>
          <w:bCs/>
          <w:sz w:val="18"/>
          <w:szCs w:val="18"/>
          <w14:ligatures w14:val="none"/>
        </w:rPr>
        <w:t xml:space="preserve">表 </w:t>
      </w:r>
      <w:r>
        <w:rPr>
          <w:rFonts w:hint="eastAsia" w:ascii="Times New Roman" w:hAnsi="Times New Roman" w:eastAsia="宋体" w:cs="Times New Roman"/>
          <w:b/>
          <w:bCs/>
          <w:sz w:val="18"/>
          <w:szCs w:val="18"/>
          <w14:ligatures w14:val="none"/>
        </w:rPr>
        <w:t>1</w:t>
      </w:r>
      <w:r>
        <w:rPr>
          <w:rFonts w:ascii="Times New Roman" w:hAnsi="Times New Roman" w:eastAsia="宋体" w:cs="Times New Roman"/>
          <w:b/>
          <w:bCs/>
          <w:sz w:val="18"/>
          <w:szCs w:val="18"/>
          <w14:ligatures w14:val="none"/>
        </w:rPr>
        <w:t xml:space="preserve"> </w:t>
      </w:r>
      <w:r>
        <w:rPr>
          <w:rFonts w:hint="eastAsia" w:ascii="Times New Roman" w:hAnsi="Times New Roman" w:eastAsia="宋体" w:cs="Times New Roman"/>
          <w:b/>
          <w:bCs/>
          <w:sz w:val="18"/>
          <w:szCs w:val="18"/>
          <w14:ligatures w14:val="none"/>
        </w:rPr>
        <w:t>文献信息表</w:t>
      </w:r>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9"/>
        <w:gridCol w:w="2129"/>
        <w:gridCol w:w="2136"/>
      </w:tblGrid>
      <w:tr w14:paraId="35DC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Pr>
          <w:p w14:paraId="35DC7D7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b/>
                <w:bCs/>
                <w:sz w:val="18"/>
                <w:szCs w:val="18"/>
              </w:rPr>
            </w:pPr>
            <w:r>
              <w:rPr>
                <w:rFonts w:ascii="Times New Roman" w:hAnsi="Times New Roman" w:eastAsia="宋体" w:cs="Times New Roman"/>
                <w:b/>
                <w:bCs/>
                <w:sz w:val="18"/>
                <w:szCs w:val="18"/>
              </w:rPr>
              <w:t>1 文献基本信息</w:t>
            </w:r>
          </w:p>
        </w:tc>
      </w:tr>
      <w:tr w14:paraId="35DC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7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所选文献</w:t>
            </w:r>
          </w:p>
        </w:tc>
        <w:tc>
          <w:tcPr>
            <w:tcW w:w="3750" w:type="pct"/>
            <w:gridSpan w:val="3"/>
          </w:tcPr>
          <w:p w14:paraId="35DC7D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Lin, H., Saunders, B., Friese, M., Evans, N. J., &amp; Inzlicht, M. (2020). Strong effort manipulations reduce response caution: A preregistered reinvention of the ego-depletion paradigm.</w:t>
            </w:r>
            <w:r>
              <w:rPr>
                <w:rFonts w:hint="default" w:ascii="Times New Roman" w:hAnsi="Times New Roman" w:eastAsia="宋体" w:cs="Times New Roman"/>
                <w:sz w:val="18"/>
                <w:szCs w:val="18"/>
              </w:rPr>
              <w:t> Psychological science, 31(5), 531-547.</w:t>
            </w:r>
          </w:p>
        </w:tc>
      </w:tr>
      <w:tr w14:paraId="35DC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7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数据来源</w:t>
            </w:r>
          </w:p>
        </w:tc>
        <w:tc>
          <w:tcPr>
            <w:tcW w:w="3750" w:type="pct"/>
            <w:gridSpan w:val="3"/>
          </w:tcPr>
          <w:p w14:paraId="35DC7D79">
            <w:pPr>
              <w:keepNext w:val="0"/>
              <w:keepLines w:val="0"/>
              <w:pageBreakBefore w:val="0"/>
              <w:widowControl w:val="0"/>
              <w:tabs>
                <w:tab w:val="left" w:pos="5282"/>
              </w:tabs>
              <w:kinsoku/>
              <w:wordWrap/>
              <w:overflowPunct/>
              <w:topLinePunct w:val="0"/>
              <w:autoSpaceDE/>
              <w:autoSpaceDN/>
              <w:bidi w:val="0"/>
              <w:adjustRightInd/>
              <w:snapToGrid/>
              <w:spacing w:line="300" w:lineRule="auto"/>
              <w:textAlignment w:val="auto"/>
              <w:rPr>
                <w:rFonts w:hint="eastAsia" w:ascii="Times New Roman" w:hAnsi="Times New Roman" w:eastAsia="宋体" w:cs="Times New Roman"/>
                <w:sz w:val="18"/>
                <w:szCs w:val="18"/>
                <w:lang w:eastAsia="zh-CN"/>
              </w:rPr>
            </w:pPr>
            <w:r>
              <w:rPr>
                <w:rFonts w:hint="eastAsia" w:ascii="Times New Roman" w:hAnsi="Times New Roman" w:eastAsia="宋体" w:cs="Times New Roman"/>
                <w:color w:val="auto"/>
                <w:sz w:val="18"/>
                <w:szCs w:val="18"/>
                <w:u w:val="none"/>
              </w:rPr>
              <w:t>https://github.com/hauselin/depletion_bayes.git</w:t>
            </w:r>
            <w:r>
              <w:rPr>
                <w:rFonts w:hint="eastAsia" w:ascii="Times New Roman" w:hAnsi="Times New Roman" w:eastAsia="宋体" w:cs="Times New Roman"/>
                <w:sz w:val="18"/>
                <w:szCs w:val="18"/>
                <w:lang w:val="en-US" w:eastAsia="zh-CN"/>
              </w:rPr>
              <w:t xml:space="preserve"> </w:t>
            </w:r>
          </w:p>
        </w:tc>
      </w:tr>
      <w:tr w14:paraId="35DC7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Pr>
          <w:p w14:paraId="35DC7D7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b/>
                <w:bCs/>
                <w:sz w:val="18"/>
                <w:szCs w:val="18"/>
              </w:rPr>
            </w:pPr>
            <w:r>
              <w:rPr>
                <w:rFonts w:ascii="Times New Roman" w:hAnsi="Times New Roman" w:eastAsia="宋体" w:cs="Times New Roman"/>
                <w:b/>
                <w:bCs/>
                <w:sz w:val="18"/>
                <w:szCs w:val="18"/>
              </w:rPr>
              <w:t>2 文献选取</w:t>
            </w:r>
          </w:p>
        </w:tc>
      </w:tr>
      <w:tr w14:paraId="35DC7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7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文献主题是否包含不止一篇研究</w:t>
            </w:r>
            <w:r>
              <w:rPr>
                <w:rFonts w:hint="eastAsia" w:ascii="Times New Roman" w:hAnsi="Times New Roman" w:eastAsia="宋体" w:cs="Times New Roman"/>
                <w:sz w:val="18"/>
                <w:szCs w:val="18"/>
              </w:rPr>
              <w:t>？</w:t>
            </w:r>
          </w:p>
        </w:tc>
        <w:tc>
          <w:tcPr>
            <w:tcW w:w="1249" w:type="pct"/>
          </w:tcPr>
          <w:p w14:paraId="35DC7D7E">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是，</w:t>
            </w:r>
            <w:r>
              <w:rPr>
                <w:rFonts w:hint="eastAsia" w:ascii="Times New Roman" w:hAnsi="Times New Roman" w:eastAsia="宋体" w:cs="Times New Roman"/>
                <w:sz w:val="13"/>
                <w:szCs w:val="13"/>
              </w:rPr>
              <w:t>且</w:t>
            </w:r>
            <w:r>
              <w:rPr>
                <w:rFonts w:ascii="Times New Roman" w:hAnsi="Times New Roman" w:eastAsia="宋体" w:cs="Times New Roman"/>
                <w:sz w:val="13"/>
                <w:szCs w:val="13"/>
              </w:rPr>
              <w:t>包含元分析研究</w:t>
            </w:r>
          </w:p>
          <w:p w14:paraId="35DC7D7F">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是，</w:t>
            </w:r>
            <w:r>
              <w:rPr>
                <w:rFonts w:hint="eastAsia" w:ascii="Times New Roman" w:hAnsi="Times New Roman" w:eastAsia="宋体" w:cs="Times New Roman"/>
                <w:sz w:val="13"/>
                <w:szCs w:val="13"/>
              </w:rPr>
              <w:t>但</w:t>
            </w:r>
            <w:r>
              <w:rPr>
                <w:rFonts w:ascii="Times New Roman" w:hAnsi="Times New Roman" w:eastAsia="宋体" w:cs="Times New Roman"/>
                <w:sz w:val="13"/>
                <w:szCs w:val="13"/>
              </w:rPr>
              <w:t>不包含元分析研究</w:t>
            </w:r>
          </w:p>
          <w:p w14:paraId="35DC7D80">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否</w:t>
            </w:r>
          </w:p>
        </w:tc>
        <w:tc>
          <w:tcPr>
            <w:tcW w:w="1249" w:type="pct"/>
          </w:tcPr>
          <w:p w14:paraId="35DC7D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文献此前被其他研究者重复过</w:t>
            </w:r>
            <w:r>
              <w:rPr>
                <w:rFonts w:hint="eastAsia" w:ascii="Times New Roman" w:hAnsi="Times New Roman" w:eastAsia="宋体" w:cs="Times New Roman"/>
                <w:sz w:val="18"/>
                <w:szCs w:val="18"/>
              </w:rPr>
              <w:t>？</w:t>
            </w:r>
          </w:p>
        </w:tc>
        <w:tc>
          <w:tcPr>
            <w:tcW w:w="1250" w:type="pct"/>
          </w:tcPr>
          <w:p w14:paraId="35DC7D82">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 xml:space="preserve">是(附上原文链接) </w:t>
            </w:r>
          </w:p>
          <w:p w14:paraId="35DC7D83">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否</w:t>
            </w:r>
          </w:p>
        </w:tc>
      </w:tr>
      <w:tr w14:paraId="35DC7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Pr>
          <w:p w14:paraId="35DC7D8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b/>
                <w:bCs/>
                <w:sz w:val="18"/>
                <w:szCs w:val="18"/>
              </w:rPr>
            </w:pPr>
            <w:r>
              <w:rPr>
                <w:rFonts w:hint="eastAsia" w:ascii="Times New Roman" w:hAnsi="Times New Roman" w:eastAsia="宋体" w:cs="Times New Roman"/>
                <w:b/>
                <w:bCs/>
                <w:sz w:val="18"/>
                <w:szCs w:val="18"/>
              </w:rPr>
              <w:t>3 研究假设选取</w:t>
            </w:r>
          </w:p>
        </w:tc>
      </w:tr>
      <w:tr w14:paraId="35DC7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8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重复的研究假设</w:t>
            </w:r>
          </w:p>
        </w:tc>
        <w:tc>
          <w:tcPr>
            <w:tcW w:w="3750" w:type="pct"/>
            <w:gridSpan w:val="3"/>
          </w:tcPr>
          <w:p w14:paraId="35DC7D8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在控制 Stroop 一致性条件后，高认知负荷条件相比低认知负荷条件会表现出更低的决策边界（boundary），反映出参与者在完成高认知负荷任务后反应更加不谨慎。</w:t>
            </w:r>
          </w:p>
        </w:tc>
      </w:tr>
      <w:tr w14:paraId="35DC7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重复的研究假设是否在其他研究中经过重复？</w:t>
            </w:r>
          </w:p>
        </w:tc>
        <w:tc>
          <w:tcPr>
            <w:tcW w:w="1249" w:type="pct"/>
          </w:tcPr>
          <w:p w14:paraId="35DC7D8B">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 xml:space="preserve">是(附上原文链接) </w:t>
            </w:r>
          </w:p>
          <w:p w14:paraId="35DC7D8C">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否</w:t>
            </w:r>
          </w:p>
        </w:tc>
        <w:tc>
          <w:tcPr>
            <w:tcW w:w="1249" w:type="pct"/>
          </w:tcPr>
          <w:p w14:paraId="35DC7D8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文献共几个实验，重复的研究假设是第几个实验中的？</w:t>
            </w:r>
          </w:p>
        </w:tc>
        <w:tc>
          <w:tcPr>
            <w:tcW w:w="1250" w:type="pct"/>
          </w:tcPr>
          <w:p w14:paraId="35DC7D8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ascii="Times New Roman" w:hAnsi="Times New Roman" w:eastAsia="宋体" w:cs="Times New Roman"/>
                <w:sz w:val="18"/>
                <w:szCs w:val="18"/>
              </w:rPr>
              <w:t>文献共包含4个</w:t>
            </w:r>
            <w:r>
              <w:rPr>
                <w:rFonts w:hint="eastAsia" w:ascii="Times New Roman" w:hAnsi="Times New Roman" w:eastAsia="宋体" w:cs="Times New Roman"/>
                <w:sz w:val="18"/>
                <w:szCs w:val="18"/>
                <w:lang w:val="en-US" w:eastAsia="zh-CN"/>
              </w:rPr>
              <w:t>预注册</w:t>
            </w:r>
            <w:r>
              <w:rPr>
                <w:rFonts w:ascii="Times New Roman" w:hAnsi="Times New Roman" w:eastAsia="宋体" w:cs="Times New Roman"/>
                <w:sz w:val="18"/>
                <w:szCs w:val="18"/>
              </w:rPr>
              <w:t>实验，本研究选择重复</w:t>
            </w:r>
            <w:r>
              <w:rPr>
                <w:rFonts w:hint="eastAsia" w:ascii="Times New Roman" w:hAnsi="Times New Roman" w:eastAsia="宋体" w:cs="Times New Roman"/>
                <w:sz w:val="18"/>
                <w:szCs w:val="18"/>
                <w:lang w:val="en-US" w:eastAsia="zh-CN"/>
              </w:rPr>
              <w:t>文献的核心假设</w:t>
            </w:r>
            <w:r>
              <w:rPr>
                <w:rFonts w:ascii="Times New Roman" w:hAnsi="Times New Roman" w:eastAsia="宋体" w:cs="Times New Roman"/>
                <w:sz w:val="18"/>
                <w:szCs w:val="18"/>
              </w:rPr>
              <w:t>。</w:t>
            </w:r>
          </w:p>
        </w:tc>
      </w:tr>
      <w:tr w14:paraId="35DC7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9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选择该假设的原因</w:t>
            </w:r>
          </w:p>
        </w:tc>
        <w:tc>
          <w:tcPr>
            <w:tcW w:w="3750" w:type="pct"/>
            <w:gridSpan w:val="3"/>
          </w:tcPr>
          <w:p w14:paraId="35DC7D9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Times New Roman" w:hAnsi="Times New Roman" w:eastAsia="宋体" w:cs="Times New Roman"/>
                <w:sz w:val="18"/>
                <w:szCs w:val="18"/>
                <w:lang w:eastAsia="zh-CN"/>
              </w:rPr>
            </w:pPr>
          </w:p>
        </w:tc>
      </w:tr>
      <w:tr w14:paraId="35DC7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Pr>
          <w:p w14:paraId="35DC7D9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b/>
                <w:bCs/>
                <w:sz w:val="18"/>
                <w:szCs w:val="18"/>
              </w:rPr>
            </w:pPr>
            <w:r>
              <w:rPr>
                <w:rFonts w:hint="eastAsia" w:ascii="Times New Roman" w:hAnsi="Times New Roman" w:eastAsia="宋体" w:cs="Times New Roman"/>
                <w:b/>
                <w:bCs/>
                <w:sz w:val="18"/>
                <w:szCs w:val="18"/>
              </w:rPr>
              <w:t>4 数据集选取</w:t>
            </w:r>
          </w:p>
        </w:tc>
      </w:tr>
      <w:tr w14:paraId="35DC7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9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是否采用原始数据？</w:t>
            </w:r>
          </w:p>
        </w:tc>
        <w:tc>
          <w:tcPr>
            <w:tcW w:w="1249" w:type="pct"/>
          </w:tcPr>
          <w:p w14:paraId="35DC7D96">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是</w:t>
            </w:r>
          </w:p>
          <w:p w14:paraId="35DC7D97">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hint="eastAsia" w:ascii="Times New Roman" w:hAnsi="Times New Roman" w:eastAsia="宋体" w:cs="Times New Roman"/>
                <w:sz w:val="13"/>
                <w:szCs w:val="13"/>
              </w:rPr>
              <w:t>否</w:t>
            </w:r>
          </w:p>
        </w:tc>
        <w:tc>
          <w:tcPr>
            <w:tcW w:w="1249" w:type="pct"/>
          </w:tcPr>
          <w:p w14:paraId="35DC7D9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是否对样本量进行修改？</w:t>
            </w:r>
          </w:p>
        </w:tc>
        <w:tc>
          <w:tcPr>
            <w:tcW w:w="1250" w:type="pct"/>
          </w:tcPr>
          <w:p w14:paraId="35DC7D99">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ascii="Times New Roman" w:hAnsi="Times New Roman" w:eastAsia="宋体" w:cs="Times New Roman"/>
                <w:sz w:val="13"/>
                <w:szCs w:val="13"/>
              </w:rPr>
              <w:t>是</w:t>
            </w:r>
            <w:r>
              <w:rPr>
                <w:rFonts w:hint="eastAsia" w:ascii="Times New Roman" w:hAnsi="Times New Roman" w:eastAsia="宋体" w:cs="Times New Roman"/>
                <w:sz w:val="13"/>
                <w:szCs w:val="13"/>
              </w:rPr>
              <w:t>(说明原因)</w:t>
            </w:r>
          </w:p>
          <w:p w14:paraId="35DC7D9A">
            <w:pPr>
              <w:pStyle w:val="12"/>
              <w:keepNext w:val="0"/>
              <w:keepLines w:val="0"/>
              <w:pageBreakBefore w:val="0"/>
              <w:widowControl w:val="0"/>
              <w:numPr>
                <w:ilvl w:val="0"/>
                <w:numId w:val="0"/>
              </w:numPr>
              <w:kinsoku/>
              <w:wordWrap/>
              <w:overflowPunct/>
              <w:topLinePunct w:val="0"/>
              <w:autoSpaceDE/>
              <w:autoSpaceDN/>
              <w:bidi w:val="0"/>
              <w:adjustRightInd/>
              <w:snapToGrid/>
              <w:spacing w:line="300" w:lineRule="auto"/>
              <w:ind w:left="360" w:leftChars="0" w:hanging="360" w:firstLineChars="0"/>
              <w:jc w:val="left"/>
              <w:textAlignment w:val="auto"/>
              <w:rPr>
                <w:rFonts w:ascii="Times New Roman" w:hAnsi="Times New Roman" w:eastAsia="宋体" w:cs="Times New Roman"/>
                <w:sz w:val="13"/>
                <w:szCs w:val="13"/>
              </w:rPr>
            </w:pPr>
            <w:r>
              <w:rPr>
                <w:rFonts w:hint="eastAsia" w:ascii="Times New Roman" w:hAnsi="Times New Roman" w:eastAsia="宋体" w:cs="Times New Roman"/>
                <w:kern w:val="2"/>
                <w:sz w:val="13"/>
                <w:szCs w:val="13"/>
                <w:lang w:val="en-US" w:eastAsia="zh-CN" w:bidi="ar-SA"/>
                <w14:ligatures w14:val="standardContextual"/>
              </w:rPr>
              <w:t>☑</w:t>
            </w:r>
            <w:r>
              <w:rPr>
                <w:rFonts w:hint="eastAsia" w:ascii="Times New Roman" w:hAnsi="Times New Roman" w:eastAsia="宋体" w:cs="Times New Roman"/>
                <w:sz w:val="13"/>
                <w:szCs w:val="13"/>
              </w:rPr>
              <w:t>否</w:t>
            </w:r>
          </w:p>
        </w:tc>
      </w:tr>
      <w:tr w14:paraId="35DC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Pr>
          <w:p w14:paraId="35DC7D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若修改，报告原文样本量大小和修改后的样本量大小</w:t>
            </w:r>
          </w:p>
        </w:tc>
        <w:tc>
          <w:tcPr>
            <w:tcW w:w="1249" w:type="pct"/>
          </w:tcPr>
          <w:p w14:paraId="35DC7D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p>
        </w:tc>
        <w:tc>
          <w:tcPr>
            <w:tcW w:w="1249" w:type="pct"/>
          </w:tcPr>
          <w:p w14:paraId="35DC7D9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r>
              <w:rPr>
                <w:rFonts w:hint="eastAsia" w:ascii="Times New Roman" w:hAnsi="Times New Roman" w:eastAsia="宋体" w:cs="Times New Roman"/>
                <w:sz w:val="18"/>
                <w:szCs w:val="18"/>
              </w:rPr>
              <w:t>若修改，报告使用 G-power 计算的修改后的样本量对应的效应量</w:t>
            </w:r>
          </w:p>
        </w:tc>
        <w:tc>
          <w:tcPr>
            <w:tcW w:w="1250" w:type="pct"/>
          </w:tcPr>
          <w:p w14:paraId="35DC7D9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宋体" w:cs="Times New Roman"/>
                <w:sz w:val="18"/>
                <w:szCs w:val="18"/>
              </w:rPr>
            </w:pPr>
          </w:p>
        </w:tc>
      </w:tr>
    </w:tbl>
    <w:p w14:paraId="0C820E19">
      <w:pPr>
        <w:spacing w:line="360" w:lineRule="auto"/>
        <w:rPr>
          <w:rFonts w:ascii="Times New Roman" w:hAnsi="Times New Roman" w:eastAsia="宋体" w:cs="Times New Roman"/>
        </w:rPr>
      </w:pPr>
    </w:p>
    <w:p w14:paraId="35DC7FBD">
      <w:pPr>
        <w:pStyle w:val="3"/>
        <w:bidi w:val="0"/>
      </w:pPr>
      <w:r>
        <w:t>1</w:t>
      </w:r>
      <w:r>
        <w:rPr>
          <w:rFonts w:hint="eastAsia"/>
        </w:rPr>
        <w:t>.2 文献介绍</w:t>
      </w:r>
    </w:p>
    <w:p w14:paraId="7A0F3113">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rPr>
      </w:pPr>
      <w:r>
        <w:rPr>
          <w:rFonts w:hint="eastAsia" w:ascii="Times New Roman" w:hAnsi="Times New Roman" w:eastAsia="宋体" w:cs="Times New Roman"/>
          <w:sz w:val="21"/>
        </w:rPr>
        <w:t>该研究主要探讨高认知努力是否会影响个</w:t>
      </w:r>
      <w:r>
        <w:rPr>
          <w:rFonts w:hint="eastAsia" w:ascii="Times New Roman" w:hAnsi="Times New Roman" w:eastAsia="宋体" w:cs="Times New Roman"/>
          <w:sz w:val="21"/>
          <w:lang w:eastAsia="zh-CN"/>
        </w:rPr>
        <w:t>体在</w:t>
      </w:r>
      <w:r>
        <w:rPr>
          <w:rFonts w:hint="eastAsia" w:ascii="Times New Roman" w:hAnsi="Times New Roman" w:eastAsia="宋体" w:cs="Times New Roman"/>
          <w:sz w:val="21"/>
        </w:rPr>
        <w:t>后续任务中的决策方式。传统的“自我损耗理论”认为，人在完成高认知负荷任务后，其认知控制能力会下降，从而导致后续任务表现变差。然而，近年来越来越多研究开始质疑这一理论，认为认知努力后的行为变化可能并非源于认知能力下降，而是源于个体决策策略的改变。基于这一观点，原研究提出：高认知负荷任务可能会降低个体在后续任务中的“决策谨慎性”，使其更快、更冲动地作出反应，而不是降低其真实的信息加工能力。</w:t>
      </w:r>
    </w:p>
    <w:p w14:paraId="01F5D841">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rPr>
      </w:pPr>
      <w:r>
        <w:rPr>
          <w:rFonts w:hint="eastAsia" w:ascii="Times New Roman" w:hAnsi="Times New Roman" w:eastAsia="宋体" w:cs="Times New Roman"/>
          <w:sz w:val="21"/>
        </w:rPr>
        <w:t>原研究共包含四个预注册研究（</w:t>
      </w:r>
      <w:r>
        <w:rPr>
          <w:rFonts w:hint="default" w:ascii="Times New Roman" w:hAnsi="Times New Roman" w:eastAsia="宋体" w:cs="Times New Roman"/>
          <w:sz w:val="21"/>
        </w:rPr>
        <w:t>Study1–4</w:t>
      </w:r>
      <w:r>
        <w:rPr>
          <w:rFonts w:hint="eastAsia" w:ascii="Times New Roman" w:hAnsi="Times New Roman" w:eastAsia="宋体" w:cs="Times New Roman"/>
          <w:sz w:val="21"/>
        </w:rPr>
        <w:t>），分别在实验室和在线环境中检验认知努力对后续决策行为的影响。研究者通过高负荷符号计数任务诱发强烈的努力感和疲劳感，并在随后采用Stroop任务测量行为表现。为了进一步揭示潜在认知机制，作者使用EZ-diffusion model估计决策边界（boundary）、漂移率（drift rate）和非决策时间等参数。本研究复现原文关于决策边界的核心结论，即高认知负荷条件会降低决策边界，表现为参与者在后续任务中采取更加快速但不够谨慎的决策策略。</w:t>
      </w:r>
    </w:p>
    <w:p w14:paraId="7B13ACB1">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rPr>
      </w:pPr>
      <w:r>
        <w:rPr>
          <w:rFonts w:hint="eastAsia" w:ascii="Times New Roman" w:hAnsi="Times New Roman" w:eastAsia="宋体" w:cs="Times New Roman"/>
          <w:sz w:val="21"/>
        </w:rPr>
        <w:t>研究结果表明，高认知负荷条件下参与者的决策边界整体呈下降趋势，说明认知努力会</w:t>
      </w:r>
      <w:r>
        <w:rPr>
          <w:rFonts w:hint="eastAsia" w:ascii="Times New Roman" w:hAnsi="Times New Roman" w:eastAsia="宋体" w:cs="Times New Roman"/>
        </w:rPr>
        <w:t>影响个体的决策策略。此外，研究发现认知努力对信息加工效率的影响并不稳定，因此作者认为</w:t>
      </w:r>
      <w:r>
        <w:rPr>
          <w:rFonts w:hint="eastAsia" w:ascii="Times New Roman" w:hAnsi="Times New Roman" w:eastAsia="宋体" w:cs="Times New Roman"/>
          <w:lang w:eastAsia="zh-CN"/>
        </w:rPr>
        <w:t>，</w:t>
      </w:r>
      <w:r>
        <w:rPr>
          <w:rFonts w:hint="eastAsia" w:ascii="Times New Roman" w:hAnsi="Times New Roman" w:eastAsia="宋体" w:cs="Times New Roman"/>
        </w:rPr>
        <w:t>高认知负荷后的行为变化更可能来源于决策谨慎性的下降，而非认知控制能力本身的损伤。总体而言，该研究为重新理解“自我损耗效应”提供了新的理论解释，也展示了扩散决策模型在认知心理学研究中的应用价值。</w:t>
      </w:r>
    </w:p>
    <w:p w14:paraId="35DC7FBF">
      <w:pPr>
        <w:pStyle w:val="2"/>
        <w:bidi w:val="0"/>
      </w:pPr>
      <w:r>
        <w:t xml:space="preserve">2 </w:t>
      </w:r>
      <w:r>
        <w:rPr>
          <w:rFonts w:hint="eastAsia"/>
        </w:rPr>
        <w:t>方法</w:t>
      </w:r>
    </w:p>
    <w:p w14:paraId="35DC7FC0">
      <w:pPr>
        <w:pStyle w:val="3"/>
        <w:bidi w:val="0"/>
      </w:pPr>
      <w:r>
        <w:rPr>
          <w:rFonts w:hint="eastAsia"/>
        </w:rPr>
        <w:t>2.1 样本</w:t>
      </w:r>
    </w:p>
    <w:p w14:paraId="3B0A9557">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ascii="Times New Roman" w:hAnsi="Times New Roman" w:eastAsia="宋体" w:cs="Times New Roman"/>
          <w:b w:val="0"/>
          <w:bCs w:val="0"/>
          <w:szCs w:val="24"/>
          <w14:ligatures w14:val="none"/>
        </w:rPr>
        <w:t>本研究使用原文公开的数据集进行计算可复现性检验，数据来源于作者公开的开放科学框架（Open Science Framework, OSF）平台。原研究共包含四个独立实验（Study 1–4），</w:t>
      </w:r>
      <w:r>
        <w:rPr>
          <w:rFonts w:hint="eastAsia" w:ascii="Times New Roman" w:hAnsi="Times New Roman" w:eastAsia="宋体" w:cs="Times New Roman"/>
          <w:b w:val="0"/>
          <w:bCs w:val="0"/>
          <w:szCs w:val="24"/>
          <w:lang w:val="en-US" w:eastAsia="zh-CN"/>
          <w14:ligatures w14:val="none"/>
        </w:rPr>
        <w:t>均</w:t>
      </w:r>
      <w:r>
        <w:rPr>
          <w:rFonts w:ascii="Times New Roman" w:hAnsi="Times New Roman" w:eastAsia="宋体" w:cs="Times New Roman"/>
          <w:b w:val="0"/>
          <w:bCs w:val="0"/>
          <w:szCs w:val="24"/>
          <w14:ligatures w14:val="none"/>
        </w:rPr>
        <w:t>采用</w:t>
      </w:r>
      <w:r>
        <w:rPr>
          <w:rFonts w:hint="eastAsia" w:ascii="Times New Roman" w:hAnsi="Times New Roman" w:eastAsia="宋体" w:cs="Times New Roman"/>
          <w:b w:val="0"/>
          <w:bCs w:val="0"/>
          <w:szCs w:val="24"/>
          <w:lang w:val="en-US" w:eastAsia="zh-CN"/>
          <w14:ligatures w14:val="none"/>
        </w:rPr>
        <w:t>被试内设计</w:t>
      </w:r>
      <w:r>
        <w:rPr>
          <w:rFonts w:hint="eastAsia" w:ascii="Times New Roman" w:hAnsi="Times New Roman" w:eastAsia="宋体" w:cs="Times New Roman"/>
          <w:b w:val="0"/>
          <w:bCs w:val="0"/>
          <w:szCs w:val="24"/>
          <w14:ligatures w14:val="none"/>
        </w:rPr>
        <w:t>考察认知努力对后续决策行为的影响。</w:t>
      </w:r>
    </w:p>
    <w:p w14:paraId="59A5C41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原研究在数据清理后共纳入686名参与者。其中，Study 1包含253名大学生（平均年龄18.80岁），Study 2包含132名大学生（平均年龄18.80岁），Study 3包含180名 Amazon Mechanical Turk（MTurk）参与者（平均年龄34.90岁），Study 4包含121名 MTurk 参与者（平均年龄39.50岁</w:t>
      </w:r>
      <w:r>
        <w:rPr>
          <w:rFonts w:hint="eastAsia" w:ascii="Times New Roman" w:hAnsi="Times New Roman" w:eastAsia="宋体" w:cs="Times New Roman"/>
          <w:b w:val="0"/>
          <w:bCs w:val="0"/>
          <w:szCs w:val="24"/>
          <w:lang w:eastAsia="zh-CN"/>
          <w14:ligatures w14:val="none"/>
        </w:rPr>
        <w:t>，</w:t>
      </w:r>
      <w:r>
        <w:rPr>
          <w:rFonts w:hint="eastAsia" w:ascii="Times New Roman" w:hAnsi="Times New Roman" w:eastAsia="宋体" w:cs="Times New Roman"/>
          <w:b w:val="0"/>
          <w:bCs w:val="0"/>
          <w:szCs w:val="24"/>
          <w14:ligatures w14:val="none"/>
        </w:rPr>
        <w:t xml:space="preserve">预注册信息见 </w:t>
      </w:r>
      <w:r>
        <w:rPr>
          <w:rFonts w:hint="eastAsia" w:ascii="Times New Roman" w:hAnsi="Times New Roman" w:eastAsia="宋体" w:cs="Times New Roman"/>
          <w:b w:val="0"/>
          <w:bCs w:val="0"/>
          <w:szCs w:val="24"/>
          <w:lang w:val="en-US" w:eastAsia="zh-CN"/>
          <w14:ligatures w14:val="none"/>
        </w:rPr>
        <w:t>https://osf.io/hhn3s/</w:t>
      </w:r>
      <w:r>
        <w:rPr>
          <w:rFonts w:hint="eastAsia" w:ascii="Times New Roman" w:hAnsi="Times New Roman" w:eastAsia="宋体" w:cs="Times New Roman"/>
          <w:b w:val="0"/>
          <w:bCs w:val="0"/>
          <w:szCs w:val="24"/>
          <w14:ligatures w14:val="none"/>
        </w:rPr>
        <w:t>）。Study 1和Study 2在实验室环境下完成，Study 3和Study 4在线完成，以检验研究结论在不同实验情境下的稳定性和普适性。</w:t>
      </w:r>
    </w:p>
    <w:p w14:paraId="2A009A7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本研究未对原始数据进行重新筛选、删除或补充，也未对样本量进行修改，而是直接采用作者公开的数据及其预处理后的扩散模型参数数据（ddm.csv）进行分析。该数据集共包含2744条观测记录，记录了研究编号（study）、实验条件（condition）、Stroop一致性（congruency）、被试编号（participant ID）以及扩散决策模型估计得到的决策边界参数（a）、漂移率参数（v）和非决策时间参数（t0/Ter）等变量。</w:t>
      </w:r>
    </w:p>
    <w:p w14:paraId="46D846BB">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由于本研究的目标是检验原研究结果的计算可复现性，因此分析过程中严格遵循作者公开的样本、数据处理方式及统计分析流程，不涉及新的样本招募或统计功效调整。</w:t>
      </w:r>
    </w:p>
    <w:p w14:paraId="35DC7FC3">
      <w:pPr>
        <w:pStyle w:val="3"/>
        <w:bidi w:val="0"/>
      </w:pPr>
      <w:r>
        <w:t>2</w:t>
      </w:r>
      <w:r>
        <w:rPr>
          <w:rFonts w:hint="eastAsia"/>
        </w:rPr>
        <w:t>.2 原研究方法简介</w:t>
      </w:r>
    </w:p>
    <w:p w14:paraId="1C3457FB">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原研究主要探讨高认知负荷是否会降低个</w:t>
      </w:r>
      <w:r>
        <w:rPr>
          <w:rFonts w:hint="eastAsia" w:ascii="Times New Roman" w:hAnsi="Times New Roman" w:eastAsia="宋体" w:cs="Times New Roman"/>
          <w:b w:val="0"/>
          <w:bCs w:val="0"/>
          <w:szCs w:val="24"/>
          <w:lang w:eastAsia="zh-CN"/>
          <w14:ligatures w14:val="none"/>
        </w:rPr>
        <w:t>体在</w:t>
      </w:r>
      <w:r>
        <w:rPr>
          <w:rFonts w:hint="eastAsia" w:ascii="Times New Roman" w:hAnsi="Times New Roman" w:eastAsia="宋体" w:cs="Times New Roman"/>
          <w:b w:val="0"/>
          <w:bCs w:val="0"/>
          <w:szCs w:val="24"/>
          <w14:ligatures w14:val="none"/>
        </w:rPr>
        <w:t>后续任务中的决策谨慎性。</w:t>
      </w:r>
      <w:r>
        <w:rPr>
          <w:rFonts w:hint="eastAsia" w:ascii="Times New Roman" w:hAnsi="Times New Roman" w:eastAsia="宋体" w:cs="Times New Roman"/>
          <w:b w:val="0"/>
          <w:bCs w:val="0"/>
          <w:szCs w:val="24"/>
          <w:lang w:val="en-US" w:eastAsia="zh-CN"/>
          <w14:ligatures w14:val="none"/>
        </w:rPr>
        <w:t>实验过程中</w:t>
      </w:r>
      <w:r>
        <w:rPr>
          <w:rFonts w:hint="eastAsia" w:ascii="Times New Roman" w:hAnsi="Times New Roman" w:eastAsia="宋体" w:cs="Times New Roman"/>
          <w:b w:val="0"/>
          <w:bCs w:val="0"/>
          <w:szCs w:val="24"/>
          <w14:ligatures w14:val="none"/>
        </w:rPr>
        <w:t>，参与者首先完成不同认知负荷水平的任务：低认知负荷条件下，参与者观看</w:t>
      </w:r>
      <w:r>
        <w:rPr>
          <w:rFonts w:hint="eastAsia" w:ascii="Times New Roman" w:hAnsi="Times New Roman" w:eastAsia="宋体" w:cs="Times New Roman"/>
          <w:b w:val="0"/>
          <w:bCs w:val="0"/>
          <w:szCs w:val="24"/>
          <w:lang w:val="en-US" w:eastAsia="zh-CN"/>
          <w14:ligatures w14:val="none"/>
        </w:rPr>
        <w:t>5</w:t>
      </w:r>
      <w:r>
        <w:rPr>
          <w:rFonts w:hint="eastAsia" w:ascii="Times New Roman" w:hAnsi="Times New Roman" w:eastAsia="宋体" w:cs="Times New Roman"/>
          <w:b w:val="0"/>
          <w:bCs w:val="0"/>
          <w:szCs w:val="24"/>
          <w14:ligatures w14:val="none"/>
        </w:rPr>
        <w:t>分钟的野生动物视频；高认知负荷条件下，参与者完成经过个体化难度调整的符号计数任务，任务持续时间根据研究不同设置为5至20分钟，以操纵认知努力水平。两次</w:t>
      </w:r>
      <w:r>
        <w:rPr>
          <w:rFonts w:hint="eastAsia" w:ascii="Times New Roman" w:hAnsi="Times New Roman" w:eastAsia="宋体" w:cs="Times New Roman"/>
          <w:b w:val="0"/>
          <w:bCs w:val="0"/>
          <w:szCs w:val="24"/>
          <w:lang w:val="en-US" w:eastAsia="zh-CN"/>
          <w14:ligatures w14:val="none"/>
        </w:rPr>
        <w:t>任务</w:t>
      </w:r>
      <w:r>
        <w:rPr>
          <w:rFonts w:hint="eastAsia" w:ascii="Times New Roman" w:hAnsi="Times New Roman" w:eastAsia="宋体" w:cs="Times New Roman"/>
          <w:b w:val="0"/>
          <w:bCs w:val="0"/>
          <w:szCs w:val="24"/>
          <w14:ligatures w14:val="none"/>
        </w:rPr>
        <w:t>间隔7–12天，</w:t>
      </w:r>
      <w:r>
        <w:rPr>
          <w:rFonts w:hint="eastAsia" w:ascii="Times New Roman" w:hAnsi="Times New Roman" w:eastAsia="宋体" w:cs="Times New Roman"/>
          <w:b w:val="0"/>
          <w:bCs w:val="0"/>
          <w:szCs w:val="24"/>
          <w:lang w:val="en-US" w:eastAsia="zh-CN"/>
          <w14:ligatures w14:val="none"/>
        </w:rPr>
        <w:t>参与者被</w:t>
      </w:r>
      <w:r>
        <w:rPr>
          <w:rFonts w:hint="eastAsia" w:ascii="Times New Roman" w:hAnsi="Times New Roman" w:eastAsia="宋体" w:cs="Times New Roman"/>
          <w:b w:val="0"/>
          <w:bCs w:val="0"/>
          <w:szCs w:val="24"/>
          <w14:ligatures w14:val="none"/>
        </w:rPr>
        <w:t>随机分配先做哪个条件。完成操纵任务后，参与者需要填写主观努力感、疲劳感、挫败感等量表，以检验操纵是否有效。随后，参与者完成 Stroop 任务，通过记录反应时与正确率测量行为表现。作者采用 EZ-diffusion model，根据反应时和正确率估计决策边界、漂移率以及非决策时间等潜在参数。其中，决策边界参数反映个体在作出反应前所要求的证据积累量，可用于衡量反应谨慎性；漂移率参数反映信息加工效率。</w:t>
      </w:r>
    </w:p>
    <w:p w14:paraId="715BE61D">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在统计分析方面，作者首先分别对四个研究建立两层贝叶斯多层模型（</w:t>
      </w:r>
      <w:r>
        <w:rPr>
          <w:rFonts w:hint="eastAsia" w:ascii="Times New Roman" w:hAnsi="Times New Roman" w:eastAsia="宋体" w:cs="Times New Roman"/>
          <w:b w:val="0"/>
          <w:bCs w:val="0"/>
          <w:szCs w:val="24"/>
          <w:lang w:val="en-US" w:eastAsia="zh-CN"/>
          <w14:ligatures w14:val="none"/>
        </w:rPr>
        <w:t>2</w:t>
      </w:r>
      <w:r>
        <w:rPr>
          <w:rFonts w:hint="eastAsia" w:ascii="Times New Roman" w:hAnsi="Times New Roman" w:eastAsia="宋体" w:cs="Times New Roman"/>
          <w:b w:val="0"/>
          <w:bCs w:val="0"/>
          <w:szCs w:val="24"/>
          <w14:ligatures w14:val="none"/>
        </w:rPr>
        <w:t>-level Bayesian multilevel model），以扩散模型参数为因变量，将实验条件（</w:t>
      </w:r>
      <w:r>
        <w:rPr>
          <w:rFonts w:hint="eastAsia" w:ascii="Times New Roman" w:hAnsi="Times New Roman" w:eastAsia="宋体" w:cs="Times New Roman"/>
          <w:b w:val="0"/>
          <w:bCs w:val="0"/>
          <w:szCs w:val="24"/>
          <w:lang w:val="en-US" w:eastAsia="zh-CN"/>
          <w14:ligatures w14:val="none"/>
        </w:rPr>
        <w:t>control</w:t>
      </w:r>
      <w:r>
        <w:rPr>
          <w:rFonts w:hint="eastAsia" w:ascii="Times New Roman" w:hAnsi="Times New Roman" w:eastAsia="宋体" w:cs="Times New Roman"/>
          <w:b w:val="0"/>
          <w:bCs w:val="0"/>
          <w:szCs w:val="24"/>
          <w14:ligatures w14:val="none"/>
        </w:rPr>
        <w:t xml:space="preserve"> vs. </w:t>
      </w:r>
      <w:r>
        <w:rPr>
          <w:rFonts w:hint="eastAsia" w:ascii="Times New Roman" w:hAnsi="Times New Roman" w:eastAsia="宋体" w:cs="Times New Roman"/>
          <w:b w:val="0"/>
          <w:bCs w:val="0"/>
          <w:szCs w:val="24"/>
          <w:lang w:val="en-US" w:eastAsia="zh-CN"/>
          <w14:ligatures w14:val="none"/>
        </w:rPr>
        <w:t>depletion</w:t>
      </w:r>
      <w:r>
        <w:rPr>
          <w:rFonts w:hint="eastAsia" w:ascii="Times New Roman" w:hAnsi="Times New Roman" w:eastAsia="宋体" w:cs="Times New Roman"/>
          <w:b w:val="0"/>
          <w:bCs w:val="0"/>
          <w:szCs w:val="24"/>
          <w14:ligatures w14:val="none"/>
        </w:rPr>
        <w:t>）和 Stroop 一致性（congruent vs. incongruent）作为固定效应，并将被试作为随机效应纳入模型。随后，作者整合四项研究的数据，建立三级贝叶斯多层模型（</w:t>
      </w:r>
      <w:r>
        <w:rPr>
          <w:rFonts w:hint="eastAsia" w:ascii="Times New Roman" w:hAnsi="Times New Roman" w:eastAsia="宋体" w:cs="Times New Roman"/>
          <w:b w:val="0"/>
          <w:bCs w:val="0"/>
          <w:szCs w:val="24"/>
          <w:lang w:val="en-US" w:eastAsia="zh-CN"/>
          <w14:ligatures w14:val="none"/>
        </w:rPr>
        <w:t>3</w:t>
      </w:r>
      <w:r>
        <w:rPr>
          <w:rFonts w:hint="eastAsia" w:ascii="Times New Roman" w:hAnsi="Times New Roman" w:eastAsia="宋体" w:cs="Times New Roman"/>
          <w:b w:val="0"/>
          <w:bCs w:val="0"/>
          <w:szCs w:val="24"/>
          <w14:ligatures w14:val="none"/>
        </w:rPr>
        <w:t>-level Bayesian multilevel model），在研究层和被试层同时建模随机效应，以获得总体效应估计。</w:t>
      </w:r>
    </w:p>
    <w:p w14:paraId="4F3F1ED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模型采用 brms 包进行贝叶斯估计，并依据既往研究报告的效应量构建信息先验。作者利用桥采样（bridge sampling）计算模型边际似然，并进一步计算贝叶斯因子（Bayes Factor），通过比较包含实验条件效应的完整模型与不包含该效应的零模型，评估高认知负荷对决策边界和漂移率的影响。</w:t>
      </w:r>
    </w:p>
    <w:p w14:paraId="73EB1DF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本研究使用 R 软件进行复现分析，主要使用的软件包</w:t>
      </w:r>
      <w:r>
        <w:rPr>
          <w:rFonts w:hint="eastAsia" w:ascii="Times New Roman" w:hAnsi="Times New Roman" w:eastAsia="宋体" w:cs="Times New Roman"/>
          <w:b w:val="0"/>
          <w:bCs w:val="0"/>
          <w:szCs w:val="24"/>
          <w:lang w:val="en-US" w:eastAsia="zh-CN"/>
          <w14:ligatures w14:val="none"/>
        </w:rPr>
        <w:t>有</w:t>
      </w:r>
      <w:r>
        <w:rPr>
          <w:rFonts w:hint="eastAsia" w:ascii="Times New Roman" w:hAnsi="Times New Roman" w:eastAsia="宋体" w:cs="Times New Roman"/>
          <w:b w:val="0"/>
          <w:bCs w:val="0"/>
          <w:szCs w:val="24"/>
          <w14:ligatures w14:val="none"/>
        </w:rPr>
        <w:t>：</w:t>
      </w:r>
    </w:p>
    <w:p w14:paraId="5B610BED">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brms：用于建立贝叶斯多层模型；</w:t>
      </w:r>
    </w:p>
    <w:p w14:paraId="7332280A">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data.table：用于数据读取与处理；</w:t>
      </w:r>
    </w:p>
    <w:p w14:paraId="1D9B9640">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lang w:val="en-US" w:eastAsia="zh-CN"/>
          <w14:ligatures w14:val="none"/>
        </w:rPr>
        <w:t>b</w:t>
      </w:r>
      <w:r>
        <w:rPr>
          <w:rFonts w:hint="eastAsia" w:ascii="Times New Roman" w:hAnsi="Times New Roman" w:eastAsia="宋体" w:cs="Times New Roman"/>
          <w:b w:val="0"/>
          <w:bCs w:val="0"/>
          <w:szCs w:val="24"/>
          <w14:ligatures w14:val="none"/>
        </w:rPr>
        <w:t>room</w:t>
      </w:r>
      <w:r>
        <w:rPr>
          <w:rFonts w:hint="eastAsia" w:ascii="Times New Roman" w:hAnsi="Times New Roman" w:eastAsia="宋体" w:cs="Times New Roman"/>
          <w:b w:val="0"/>
          <w:bCs w:val="0"/>
          <w:szCs w:val="24"/>
          <w:lang w:eastAsia="zh-CN"/>
          <w14:ligatures w14:val="none"/>
        </w:rPr>
        <w:t>：</w:t>
      </w:r>
      <w:r>
        <w:rPr>
          <w:rFonts w:hint="eastAsia" w:ascii="Times New Roman" w:hAnsi="Times New Roman" w:eastAsia="宋体" w:cs="Times New Roman"/>
          <w:b w:val="0"/>
          <w:bCs w:val="0"/>
          <w:szCs w:val="24"/>
          <w14:ligatures w14:val="none"/>
        </w:rPr>
        <w:t>用于结果提取；</w:t>
      </w:r>
    </w:p>
    <w:p w14:paraId="5FC85753">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bayesplot：用于贝叶斯模型结果可视化；</w:t>
      </w:r>
    </w:p>
    <w:p w14:paraId="200A4FD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b w:val="0"/>
          <w:bCs w:val="0"/>
          <w:szCs w:val="24"/>
          <w14:ligatures w14:val="none"/>
        </w:rPr>
      </w:pPr>
      <w:r>
        <w:rPr>
          <w:rFonts w:hint="eastAsia" w:ascii="Times New Roman" w:hAnsi="Times New Roman" w:eastAsia="宋体" w:cs="Times New Roman"/>
          <w:b w:val="0"/>
          <w:bCs w:val="0"/>
          <w:szCs w:val="24"/>
          <w14:ligatures w14:val="none"/>
        </w:rPr>
        <w:t>glue：用于模型文件路径管理。</w:t>
      </w:r>
    </w:p>
    <w:p w14:paraId="35DC7FC5">
      <w:pPr>
        <w:pStyle w:val="3"/>
        <w:bidi w:val="0"/>
      </w:pPr>
      <w:r>
        <w:rPr>
          <w:rFonts w:hint="eastAsia"/>
        </w:rPr>
        <w:t>2</w:t>
      </w:r>
      <w:r>
        <w:t>.</w:t>
      </w:r>
      <w:r>
        <w:rPr>
          <w:rFonts w:hint="eastAsia"/>
        </w:rPr>
        <w:t>3</w:t>
      </w:r>
      <w:r>
        <w:t xml:space="preserve"> </w:t>
      </w:r>
      <w:r>
        <w:rPr>
          <w:rFonts w:hint="eastAsia"/>
        </w:rPr>
        <w:t>重复思路说明</w:t>
      </w:r>
    </w:p>
    <w:p w14:paraId="2EAD58BE">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rPr>
      </w:pPr>
      <w:r>
        <w:rPr>
          <w:rFonts w:hint="eastAsia" w:ascii="Times New Roman" w:hAnsi="Times New Roman" w:eastAsia="宋体" w:cs="Times New Roman"/>
          <w:sz w:val="21"/>
          <w:szCs w:val="21"/>
        </w:rPr>
        <w:t>本研究旨在对 Lin 等人（2020</w:t>
      </w:r>
      <w:r>
        <w:rPr>
          <w:rFonts w:hint="eastAsia" w:ascii="Times New Roman" w:hAnsi="Times New Roman" w:eastAsia="宋体" w:cs="Times New Roman"/>
        </w:rPr>
        <w:t>）提出的核心理论假设进行计算可复现性检验，即高认知负荷任务是否会降低个体后续任务中的决策边界（boundary），从而使其表现出更低的反应谨慎性。与仅复现单个实验不同，本研究尽可能完整地复现原研究的统计分析流程，以检验其主要研究结论的稳定性和可重复性。</w:t>
      </w:r>
    </w:p>
    <w:p w14:paraId="01169EDE">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szCs w:val="21"/>
        </w:rPr>
      </w:pPr>
      <w:r>
        <w:rPr>
          <w:rFonts w:hint="eastAsia" w:ascii="Times New Roman" w:hAnsi="Times New Roman" w:eastAsia="宋体" w:cs="Times New Roman"/>
          <w:sz w:val="21"/>
          <w:szCs w:val="21"/>
        </w:rPr>
        <w:t>在具体实施过程中，本研究使用作者公开的数据集以及配套分析代码，对扩散模型参数的贝叶斯统计分析部分进行复现。由于原作者已公开扩散模型拟合后的参数数据，但未公开从 Stroop 行为数据到扩散模型参数估计的完整建模过程，因此本研究主要复现 DDM 参数获得之后的统计分析流程，而未重新进行扩散模型拟合。</w:t>
      </w:r>
    </w:p>
    <w:p w14:paraId="07270B33">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szCs w:val="21"/>
        </w:rPr>
      </w:pPr>
      <w:r>
        <w:rPr>
          <w:rFonts w:hint="eastAsia" w:ascii="Times New Roman" w:hAnsi="Times New Roman" w:eastAsia="宋体" w:cs="Times New Roman"/>
          <w:sz w:val="21"/>
          <w:szCs w:val="21"/>
        </w:rPr>
        <w:t>复现过程主要包括两个阶段。首先，分别对四个独立研究建立两层贝叶斯多层模型，以决策边界参数（a）作为因变量，将实验条件（condition）和 Stroop 一致性（congruency）作为固定效应，将被试作为随机效应。随后分别拟合包含实验条件效应的完整模型（Full Model）以及不包含实验条件效应的零模型（Null Model），并利用桥采样（bridge sampling）计算贝叶斯因子，以评估实验条件对决策边界的影响。</w:t>
      </w:r>
    </w:p>
    <w:p w14:paraId="7BF0574B">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szCs w:val="21"/>
        </w:rPr>
      </w:pPr>
      <w:r>
        <w:rPr>
          <w:rFonts w:hint="eastAsia" w:ascii="Times New Roman" w:hAnsi="Times New Roman" w:eastAsia="宋体" w:cs="Times New Roman"/>
          <w:sz w:val="21"/>
          <w:szCs w:val="21"/>
        </w:rPr>
        <w:t>在完成单个研究复现后，本研究进一步整合四项研究的数据，建立三级贝叶斯多层模型。该模型同时考虑研究层和被试层的随机效应，以获得跨研究的总体效应估计。与原研究一致，本研究同样比较包含实验条件效应的完整模型与不包含实验条件效应的零模型，并计算贝叶斯因子作为模型比较指标。</w:t>
      </w:r>
    </w:p>
    <w:p w14:paraId="1AEE7A0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sz w:val="21"/>
          <w:szCs w:val="21"/>
        </w:rPr>
      </w:pPr>
      <w:r>
        <w:rPr>
          <w:rFonts w:hint="eastAsia" w:ascii="Times New Roman" w:hAnsi="Times New Roman" w:eastAsia="宋体" w:cs="Times New Roman"/>
          <w:sz w:val="21"/>
          <w:szCs w:val="21"/>
        </w:rPr>
        <w:t>此外，本研究严格沿用原文的变量编码方式、先验分布设置、模型结构以及贝叶斯推断方法，不引入新的统计模型或替代分析方案。对于模型运行过程中出现的采样警告（如 divergence 和 tree depth warning），本研究进一步进行了模型诊断与结果评估，以判断其对主要研究结论的影响。</w:t>
      </w:r>
    </w:p>
    <w:p w14:paraId="6F19B22B">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Times New Roman" w:hAnsi="Times New Roman" w:eastAsia="宋体" w:cs="Times New Roman"/>
          <w:lang w:eastAsia="zh-CN"/>
        </w:rPr>
      </w:pPr>
      <w:r>
        <w:rPr>
          <w:rFonts w:hint="eastAsia" w:ascii="Times New Roman" w:hAnsi="Times New Roman" w:eastAsia="宋体" w:cs="Times New Roman"/>
        </w:rPr>
        <w:t>因此，本研究的目标并非重新检验原研究理论，而是在尽可能保持原分析流程不变的前提下，验证原文主要统计结果及研究结论是否能够被成功复现，并据此评估其计算可复现性水平</w:t>
      </w:r>
      <w:r>
        <w:rPr>
          <w:rFonts w:hint="eastAsia" w:ascii="Times New Roman" w:hAnsi="Times New Roman" w:eastAsia="宋体" w:cs="Times New Roman"/>
          <w:lang w:eastAsia="zh-CN"/>
        </w:rPr>
        <w:t>。</w:t>
      </w:r>
    </w:p>
    <w:p w14:paraId="35DC7FC8">
      <w:pPr>
        <w:pStyle w:val="2"/>
        <w:bidi w:val="0"/>
      </w:pPr>
      <w:r>
        <w:t xml:space="preserve">3 </w:t>
      </w:r>
      <w:r>
        <w:rPr>
          <w:rFonts w:hint="eastAsia"/>
        </w:rPr>
        <w:t>结果</w:t>
      </w:r>
    </w:p>
    <w:p w14:paraId="35DC7FC9">
      <w:pPr>
        <w:pStyle w:val="3"/>
        <w:bidi w:val="0"/>
        <w:rPr>
          <w:rFonts w:hint="eastAsia"/>
          <w:lang w:val="en-US" w:eastAsia="zh-CN"/>
        </w:rPr>
      </w:pPr>
      <w:r>
        <w:rPr>
          <w:rFonts w:hint="eastAsia"/>
        </w:rPr>
        <w:t xml:space="preserve">3.1 </w:t>
      </w:r>
      <w:r>
        <w:rPr>
          <w:rFonts w:hint="eastAsia"/>
          <w:lang w:val="en-US" w:eastAsia="zh-CN"/>
        </w:rPr>
        <w:t>单个研究复现的结果</w:t>
      </w:r>
    </w:p>
    <w:p w14:paraId="66E80D3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本研究首先分别对原文中的四个独立研究进行贝叶斯多层模型分析，以检验高认知负荷条件对决策边界（boundary）的影响。结果如表2所示。</w:t>
      </w:r>
    </w:p>
    <w:p w14:paraId="5FCD85AD">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总体而言，四个研究中实验条件效应的方向均与原研究一致，均表现为高认知负荷条件相比控制条件具有更低的决策边界，即参与者在经历高认知努力后表现出较低的反应谨慎性。</w:t>
      </w:r>
    </w:p>
    <w:p w14:paraId="5C8D4B5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具体来看，Study 1中，复现得到的实验条件效应为 </w:t>
      </w:r>
      <w:r>
        <w:rPr>
          <w:rFonts w:ascii="Times New Roman" w:hAnsi="Times New Roman" w:eastAsia="宋体" w:cs="Times New Roman"/>
          <w:b w:val="0"/>
          <w:bCs w:val="0"/>
          <w:i/>
          <w:iCs/>
          <w:sz w:val="21"/>
          <w:szCs w:val="21"/>
        </w:rPr>
        <w:t>b</w:t>
      </w:r>
      <w:r>
        <w:rPr>
          <w:rFonts w:ascii="Times New Roman" w:hAnsi="Times New Roman" w:eastAsia="宋体" w:cs="Times New Roman"/>
          <w:b w:val="0"/>
          <w:bCs w:val="0"/>
          <w:sz w:val="21"/>
          <w:szCs w:val="21"/>
        </w:rPr>
        <w:t xml:space="preserve"> = −0.004，95% HPD = [−0.006, −0.002]，BF = 22.11，表明高认知负荷降低决策边界，该结果与原研究报告的参数估计和效应量完全一致，仅贝叶斯因子存在轻微差异（原研究 BF = 25.45）。Study 2中，复现结果为 </w:t>
      </w:r>
      <w:r>
        <w:rPr>
          <w:rFonts w:ascii="Times New Roman" w:hAnsi="Times New Roman" w:eastAsia="宋体" w:cs="Times New Roman"/>
          <w:b w:val="0"/>
          <w:bCs w:val="0"/>
          <w:i/>
          <w:iCs/>
          <w:sz w:val="21"/>
          <w:szCs w:val="21"/>
        </w:rPr>
        <w:t>b</w:t>
      </w:r>
      <w:r>
        <w:rPr>
          <w:rFonts w:ascii="Times New Roman" w:hAnsi="Times New Roman" w:eastAsia="宋体" w:cs="Times New Roman"/>
          <w:b w:val="0"/>
          <w:bCs w:val="0"/>
          <w:sz w:val="21"/>
          <w:szCs w:val="21"/>
        </w:rPr>
        <w:t xml:space="preserve"> = −0.002，95% HPD = [−0.005, 0.001]，BF = 0.08，与原研究结果完全一致。该结果表明，在该研究中，数据并未为高认知负荷影响决策边界提供支持。Study 3中，复现结果为 </w:t>
      </w:r>
      <w:r>
        <w:rPr>
          <w:rFonts w:ascii="Times New Roman" w:hAnsi="Times New Roman" w:eastAsia="宋体" w:cs="Times New Roman"/>
          <w:b w:val="0"/>
          <w:bCs w:val="0"/>
          <w:i/>
          <w:iCs/>
          <w:sz w:val="21"/>
          <w:szCs w:val="21"/>
        </w:rPr>
        <w:t>b</w:t>
      </w:r>
      <w:r>
        <w:rPr>
          <w:rFonts w:ascii="Times New Roman" w:hAnsi="Times New Roman" w:eastAsia="宋体" w:cs="Times New Roman"/>
          <w:b w:val="0"/>
          <w:bCs w:val="0"/>
          <w:sz w:val="21"/>
          <w:szCs w:val="21"/>
        </w:rPr>
        <w:t xml:space="preserve"> = −0.005，95% HPD = [−0.008, −0.003]，BF &gt; 500，与原研究结果完全一致，表明存在极强证据支持高认知负荷降低决策边界。Study 4中，复现得到的效应估计为</w:t>
      </w:r>
      <w:r>
        <w:rPr>
          <w:rFonts w:ascii="Times New Roman" w:hAnsi="Times New Roman" w:eastAsia="宋体" w:cs="Times New Roman"/>
          <w:b w:val="0"/>
          <w:bCs w:val="0"/>
          <w:i/>
          <w:iCs/>
          <w:sz w:val="21"/>
          <w:szCs w:val="21"/>
        </w:rPr>
        <w:t xml:space="preserve"> b</w:t>
      </w:r>
      <w:r>
        <w:rPr>
          <w:rFonts w:ascii="Times New Roman" w:hAnsi="Times New Roman" w:eastAsia="宋体" w:cs="Times New Roman"/>
          <w:b w:val="0"/>
          <w:bCs w:val="0"/>
          <w:sz w:val="21"/>
          <w:szCs w:val="21"/>
        </w:rPr>
        <w:t xml:space="preserve"> = −0.006，95% HPD = [−0.010, 0.000]，BF = 0.59，与原研究相比仅存在极小差异（原研究 BF = 0.60）。</w:t>
      </w:r>
      <w:bookmarkStart w:id="0" w:name="_GoBack"/>
      <w:bookmarkEnd w:id="0"/>
    </w:p>
    <w:p w14:paraId="13592202">
      <w:pPr>
        <w:spacing w:line="300" w:lineRule="auto"/>
        <w:jc w:val="center"/>
        <w:rPr>
          <w:rFonts w:hint="default" w:ascii="Times New Roman" w:hAnsi="Times New Roman" w:eastAsia="宋体" w:cs="Times New Roman"/>
          <w:b/>
          <w:bCs/>
          <w:szCs w:val="24"/>
          <w:lang w:val="en-US" w:eastAsia="zh-CN"/>
          <w14:ligatures w14:val="none"/>
        </w:rPr>
      </w:pPr>
      <w:r>
        <w:rPr>
          <w:rFonts w:ascii="Times New Roman" w:hAnsi="Times New Roman" w:eastAsia="宋体" w:cs="Times New Roman"/>
          <w:b/>
          <w:bCs/>
          <w:sz w:val="18"/>
          <w:szCs w:val="18"/>
          <w14:ligatures w14:val="none"/>
        </w:rPr>
        <w:t xml:space="preserve">表 </w:t>
      </w:r>
      <w:r>
        <w:rPr>
          <w:rFonts w:hint="eastAsia" w:ascii="Times New Roman" w:hAnsi="Times New Roman" w:eastAsia="宋体" w:cs="Times New Roman"/>
          <w:b/>
          <w:bCs/>
          <w:sz w:val="18"/>
          <w:szCs w:val="18"/>
          <w14:ligatures w14:val="none"/>
        </w:rPr>
        <w:t>2</w:t>
      </w:r>
      <w:r>
        <w:rPr>
          <w:rFonts w:ascii="Times New Roman" w:hAnsi="Times New Roman" w:eastAsia="宋体" w:cs="Times New Roman"/>
          <w:b/>
          <w:bCs/>
          <w:sz w:val="18"/>
          <w:szCs w:val="18"/>
          <w14:ligatures w14:val="none"/>
        </w:rPr>
        <w:t xml:space="preserve"> </w:t>
      </w:r>
      <w:r>
        <w:rPr>
          <w:rFonts w:hint="eastAsia" w:ascii="Times New Roman" w:hAnsi="Times New Roman" w:eastAsia="宋体" w:cs="Times New Roman"/>
          <w:b/>
          <w:bCs/>
          <w:sz w:val="18"/>
          <w:szCs w:val="18"/>
          <w:lang w:val="en-US" w:eastAsia="zh-CN"/>
          <w14:ligatures w14:val="none"/>
        </w:rPr>
        <w:t>单个研究</w:t>
      </w:r>
      <w:r>
        <w:rPr>
          <w:rFonts w:ascii="Times New Roman" w:hAnsi="Times New Roman" w:eastAsia="宋体" w:cs="Times New Roman"/>
          <w:b/>
          <w:bCs/>
          <w:sz w:val="18"/>
          <w:szCs w:val="18"/>
          <w14:ligatures w14:val="none"/>
        </w:rPr>
        <w:t>实验条件对决策边界（Boundary）的影响</w:t>
      </w:r>
    </w:p>
    <w:tbl>
      <w:tblPr>
        <w:tblStyle w:val="7"/>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4"/>
        <w:gridCol w:w="1399"/>
        <w:gridCol w:w="1491"/>
        <w:gridCol w:w="1523"/>
        <w:gridCol w:w="1399"/>
        <w:gridCol w:w="1401"/>
      </w:tblGrid>
      <w:tr w14:paraId="14D62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tcBorders>
              <w:top w:val="single" w:color="auto" w:sz="12" w:space="0"/>
            </w:tcBorders>
            <w:vAlign w:val="center"/>
          </w:tcPr>
          <w:p w14:paraId="56DD252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c>
          <w:tcPr>
            <w:tcW w:w="821" w:type="pct"/>
            <w:tcBorders>
              <w:top w:val="single" w:color="auto" w:sz="12" w:space="0"/>
            </w:tcBorders>
            <w:vAlign w:val="center"/>
          </w:tcPr>
          <w:p w14:paraId="7CB0344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lang w:val="en-US" w:eastAsia="zh-CN"/>
                <w14:ligatures w14:val="none"/>
              </w:rPr>
              <w:t>b</w:t>
            </w:r>
          </w:p>
        </w:tc>
        <w:tc>
          <w:tcPr>
            <w:tcW w:w="875" w:type="pct"/>
            <w:tcBorders>
              <w:top w:val="single" w:color="auto" w:sz="12" w:space="0"/>
            </w:tcBorders>
            <w:vAlign w:val="center"/>
          </w:tcPr>
          <w:p w14:paraId="60AE047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lang w:val="en-US" w:eastAsia="zh-CN"/>
                <w14:ligatures w14:val="none"/>
              </w:rPr>
              <w:t>95%HPD</w:t>
            </w:r>
          </w:p>
        </w:tc>
        <w:tc>
          <w:tcPr>
            <w:tcW w:w="894" w:type="pct"/>
            <w:tcBorders>
              <w:top w:val="single" w:color="auto" w:sz="12" w:space="0"/>
            </w:tcBorders>
            <w:vAlign w:val="center"/>
          </w:tcPr>
          <w:p w14:paraId="2CBE73D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lang w:val="en-US" w:eastAsia="zh-CN"/>
                <w14:ligatures w14:val="none"/>
              </w:rPr>
              <w:t>BF</w:t>
            </w:r>
          </w:p>
        </w:tc>
        <w:tc>
          <w:tcPr>
            <w:tcW w:w="821" w:type="pct"/>
            <w:tcBorders>
              <w:top w:val="single" w:color="auto" w:sz="12" w:space="0"/>
            </w:tcBorders>
            <w:vAlign w:val="center"/>
          </w:tcPr>
          <w:p w14:paraId="5B065D1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lang w:val="en-US" w:eastAsia="zh-CN"/>
                <w14:ligatures w14:val="none"/>
              </w:rPr>
              <w:t>d</w:t>
            </w:r>
          </w:p>
        </w:tc>
        <w:tc>
          <w:tcPr>
            <w:tcW w:w="821" w:type="pct"/>
            <w:tcBorders>
              <w:top w:val="single" w:color="auto" w:sz="12" w:space="0"/>
            </w:tcBorders>
            <w:vAlign w:val="center"/>
          </w:tcPr>
          <w:p w14:paraId="60A88A6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lang w:val="en-US" w:eastAsia="zh-CN"/>
                <w14:ligatures w14:val="none"/>
              </w:rPr>
              <w:t>95%HPD</w:t>
            </w:r>
          </w:p>
        </w:tc>
      </w:tr>
      <w:tr w14:paraId="77FE6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tcBorders>
              <w:top w:val="single" w:color="auto" w:sz="4" w:space="0"/>
              <w:bottom w:val="nil"/>
            </w:tcBorders>
            <w:vAlign w:val="center"/>
          </w:tcPr>
          <w:p w14:paraId="29D402A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Study1</w:t>
            </w:r>
          </w:p>
        </w:tc>
        <w:tc>
          <w:tcPr>
            <w:tcW w:w="4233" w:type="pct"/>
            <w:gridSpan w:val="5"/>
            <w:tcBorders>
              <w:top w:val="single" w:color="auto" w:sz="4" w:space="0"/>
              <w:bottom w:val="nil"/>
            </w:tcBorders>
            <w:vAlign w:val="center"/>
          </w:tcPr>
          <w:p w14:paraId="03FAE0A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14:ligatures w14:val="none"/>
              </w:rPr>
            </w:pPr>
          </w:p>
        </w:tc>
      </w:tr>
      <w:tr w14:paraId="03C90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tcBorders>
              <w:top w:val="nil"/>
            </w:tcBorders>
            <w:vAlign w:val="center"/>
          </w:tcPr>
          <w:p w14:paraId="3BF74AC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Original result</w:t>
            </w:r>
          </w:p>
        </w:tc>
        <w:tc>
          <w:tcPr>
            <w:tcW w:w="821" w:type="pct"/>
            <w:tcBorders>
              <w:top w:val="nil"/>
            </w:tcBorders>
            <w:vAlign w:val="center"/>
          </w:tcPr>
          <w:p w14:paraId="0ACF0F9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0.004</w:t>
            </w:r>
          </w:p>
        </w:tc>
        <w:tc>
          <w:tcPr>
            <w:tcW w:w="875" w:type="pct"/>
            <w:tcBorders>
              <w:top w:val="nil"/>
            </w:tcBorders>
            <w:vAlign w:val="center"/>
          </w:tcPr>
          <w:p w14:paraId="66B061E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 xml:space="preserve">0.006, </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0.002]</w:t>
            </w:r>
          </w:p>
        </w:tc>
        <w:tc>
          <w:tcPr>
            <w:tcW w:w="894" w:type="pct"/>
            <w:tcBorders>
              <w:top w:val="nil"/>
            </w:tcBorders>
            <w:vAlign w:val="center"/>
          </w:tcPr>
          <w:p w14:paraId="70DB283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25.45</w:t>
            </w:r>
          </w:p>
        </w:tc>
        <w:tc>
          <w:tcPr>
            <w:tcW w:w="821" w:type="pct"/>
            <w:tcBorders>
              <w:top w:val="nil"/>
            </w:tcBorders>
            <w:vAlign w:val="center"/>
          </w:tcPr>
          <w:p w14:paraId="3FCD715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0.22</w:t>
            </w:r>
          </w:p>
        </w:tc>
        <w:tc>
          <w:tcPr>
            <w:tcW w:w="821" w:type="pct"/>
            <w:tcBorders>
              <w:top w:val="nil"/>
            </w:tcBorders>
            <w:vAlign w:val="center"/>
          </w:tcPr>
          <w:p w14:paraId="5F1D7F3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0.34, 0.10]</w:t>
            </w:r>
          </w:p>
        </w:tc>
      </w:tr>
      <w:tr w14:paraId="7E6CF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vAlign w:val="center"/>
          </w:tcPr>
          <w:p w14:paraId="12F9D02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This study</w:t>
            </w:r>
          </w:p>
        </w:tc>
        <w:tc>
          <w:tcPr>
            <w:tcW w:w="821" w:type="pct"/>
            <w:vAlign w:val="center"/>
          </w:tcPr>
          <w:p w14:paraId="79E65E6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0.004</w:t>
            </w:r>
          </w:p>
        </w:tc>
        <w:tc>
          <w:tcPr>
            <w:tcW w:w="875" w:type="pct"/>
            <w:vAlign w:val="center"/>
          </w:tcPr>
          <w:p w14:paraId="4800AA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 xml:space="preserve">0.006, </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0.002]</w:t>
            </w:r>
          </w:p>
        </w:tc>
        <w:tc>
          <w:tcPr>
            <w:tcW w:w="894" w:type="pct"/>
            <w:vAlign w:val="center"/>
          </w:tcPr>
          <w:p w14:paraId="6320B04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22.11</w:t>
            </w:r>
          </w:p>
        </w:tc>
        <w:tc>
          <w:tcPr>
            <w:tcW w:w="821" w:type="pct"/>
            <w:vAlign w:val="center"/>
          </w:tcPr>
          <w:p w14:paraId="375C563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0.22</w:t>
            </w:r>
          </w:p>
        </w:tc>
        <w:tc>
          <w:tcPr>
            <w:tcW w:w="821" w:type="pct"/>
            <w:vAlign w:val="center"/>
          </w:tcPr>
          <w:p w14:paraId="219C320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0.34, 0.10]</w:t>
            </w:r>
          </w:p>
        </w:tc>
      </w:tr>
      <w:tr w14:paraId="3B059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vAlign w:val="center"/>
          </w:tcPr>
          <w:p w14:paraId="5C202E9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i/>
                <w:iCs/>
                <w:szCs w:val="24"/>
                <w14:ligatures w14:val="none"/>
              </w:rPr>
              <w:t>δ</w:t>
            </w:r>
          </w:p>
        </w:tc>
        <w:tc>
          <w:tcPr>
            <w:tcW w:w="821" w:type="pct"/>
            <w:vAlign w:val="center"/>
          </w:tcPr>
          <w:p w14:paraId="1855625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75" w:type="pct"/>
            <w:vAlign w:val="center"/>
          </w:tcPr>
          <w:p w14:paraId="3BDF75F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94" w:type="pct"/>
            <w:vAlign w:val="center"/>
          </w:tcPr>
          <w:p w14:paraId="7BDA65B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3.34</w:t>
            </w:r>
          </w:p>
        </w:tc>
        <w:tc>
          <w:tcPr>
            <w:tcW w:w="821" w:type="pct"/>
            <w:vAlign w:val="center"/>
          </w:tcPr>
          <w:p w14:paraId="0C8C8CE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2D3160F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r w14:paraId="00D34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vAlign w:val="center"/>
          </w:tcPr>
          <w:p w14:paraId="3B544B9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Rating</w:t>
            </w:r>
          </w:p>
        </w:tc>
        <w:tc>
          <w:tcPr>
            <w:tcW w:w="821" w:type="pct"/>
            <w:vAlign w:val="center"/>
          </w:tcPr>
          <w:p w14:paraId="03874AD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Fully replicated</w:t>
            </w:r>
          </w:p>
        </w:tc>
        <w:tc>
          <w:tcPr>
            <w:tcW w:w="875" w:type="pct"/>
            <w:vAlign w:val="center"/>
          </w:tcPr>
          <w:p w14:paraId="15E3463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94" w:type="pct"/>
            <w:vAlign w:val="center"/>
          </w:tcPr>
          <w:p w14:paraId="6D70CAD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Highly replicated</w:t>
            </w:r>
          </w:p>
        </w:tc>
        <w:tc>
          <w:tcPr>
            <w:tcW w:w="821" w:type="pct"/>
            <w:vAlign w:val="center"/>
          </w:tcPr>
          <w:p w14:paraId="2CDF3DB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vAlign w:val="center"/>
          </w:tcPr>
          <w:p w14:paraId="0F9A6DD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r>
      <w:tr w14:paraId="297FD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5DB9A1E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Study2</w:t>
            </w:r>
          </w:p>
        </w:tc>
        <w:tc>
          <w:tcPr>
            <w:tcW w:w="4233" w:type="pct"/>
            <w:gridSpan w:val="5"/>
            <w:vAlign w:val="center"/>
          </w:tcPr>
          <w:p w14:paraId="3BC9ED0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r>
      <w:tr w14:paraId="57F3F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6F868C3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Original result</w:t>
            </w:r>
          </w:p>
        </w:tc>
        <w:tc>
          <w:tcPr>
            <w:tcW w:w="821" w:type="pct"/>
            <w:vAlign w:val="center"/>
          </w:tcPr>
          <w:p w14:paraId="35CAA13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0.002</w:t>
            </w:r>
          </w:p>
        </w:tc>
        <w:tc>
          <w:tcPr>
            <w:tcW w:w="875" w:type="pct"/>
            <w:vAlign w:val="center"/>
          </w:tcPr>
          <w:p w14:paraId="33EF036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0.005, 0.001]</w:t>
            </w:r>
          </w:p>
        </w:tc>
        <w:tc>
          <w:tcPr>
            <w:tcW w:w="894" w:type="pct"/>
            <w:vAlign w:val="center"/>
          </w:tcPr>
          <w:p w14:paraId="61B8251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0.08</w:t>
            </w:r>
          </w:p>
        </w:tc>
        <w:tc>
          <w:tcPr>
            <w:tcW w:w="821" w:type="pct"/>
            <w:vAlign w:val="center"/>
          </w:tcPr>
          <w:p w14:paraId="0057927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0.08</w:t>
            </w:r>
          </w:p>
        </w:tc>
        <w:tc>
          <w:tcPr>
            <w:tcW w:w="821" w:type="pct"/>
            <w:vAlign w:val="center"/>
          </w:tcPr>
          <w:p w14:paraId="3996E7C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0.24, 0.07]</w:t>
            </w:r>
          </w:p>
        </w:tc>
      </w:tr>
      <w:tr w14:paraId="36531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7C382A7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This study</w:t>
            </w:r>
          </w:p>
        </w:tc>
        <w:tc>
          <w:tcPr>
            <w:tcW w:w="821" w:type="pct"/>
            <w:vAlign w:val="center"/>
          </w:tcPr>
          <w:p w14:paraId="05CE91C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0.002</w:t>
            </w:r>
          </w:p>
        </w:tc>
        <w:tc>
          <w:tcPr>
            <w:tcW w:w="875" w:type="pct"/>
            <w:vAlign w:val="center"/>
          </w:tcPr>
          <w:p w14:paraId="1A37EC3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0.005, 0.001]</w:t>
            </w:r>
          </w:p>
        </w:tc>
        <w:tc>
          <w:tcPr>
            <w:tcW w:w="894" w:type="pct"/>
            <w:vAlign w:val="center"/>
          </w:tcPr>
          <w:p w14:paraId="22C06AA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0.08</w:t>
            </w:r>
          </w:p>
        </w:tc>
        <w:tc>
          <w:tcPr>
            <w:tcW w:w="821" w:type="pct"/>
            <w:vAlign w:val="center"/>
          </w:tcPr>
          <w:p w14:paraId="21D85CB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0.08</w:t>
            </w:r>
          </w:p>
        </w:tc>
        <w:tc>
          <w:tcPr>
            <w:tcW w:w="821" w:type="pct"/>
            <w:vAlign w:val="center"/>
          </w:tcPr>
          <w:p w14:paraId="7749FF7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0.24, 0.07]</w:t>
            </w:r>
          </w:p>
        </w:tc>
      </w:tr>
      <w:tr w14:paraId="50DDF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4CC4E43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ascii="Times New Roman" w:hAnsi="Times New Roman" w:eastAsia="宋体" w:cs="Times New Roman"/>
                <w:i/>
                <w:iCs/>
                <w:szCs w:val="24"/>
                <w14:ligatures w14:val="none"/>
              </w:rPr>
              <w:t>δ</w:t>
            </w:r>
          </w:p>
        </w:tc>
        <w:tc>
          <w:tcPr>
            <w:tcW w:w="821" w:type="pct"/>
            <w:vAlign w:val="center"/>
          </w:tcPr>
          <w:p w14:paraId="11912F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75" w:type="pct"/>
            <w:vAlign w:val="center"/>
          </w:tcPr>
          <w:p w14:paraId="63C5D19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94" w:type="pct"/>
            <w:vAlign w:val="center"/>
          </w:tcPr>
          <w:p w14:paraId="3B6CB1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6629215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6AA3522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r w14:paraId="55143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32994BB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Rating</w:t>
            </w:r>
          </w:p>
        </w:tc>
        <w:tc>
          <w:tcPr>
            <w:tcW w:w="821" w:type="pct"/>
            <w:vAlign w:val="center"/>
          </w:tcPr>
          <w:p w14:paraId="590CF8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75" w:type="pct"/>
            <w:vAlign w:val="center"/>
          </w:tcPr>
          <w:p w14:paraId="4313D56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94" w:type="pct"/>
            <w:vAlign w:val="center"/>
          </w:tcPr>
          <w:p w14:paraId="0DD359A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vAlign w:val="center"/>
          </w:tcPr>
          <w:p w14:paraId="55254B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vAlign w:val="center"/>
          </w:tcPr>
          <w:p w14:paraId="0B43CD2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r>
      <w:tr w14:paraId="4C27B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4ECF6C6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Study3</w:t>
            </w:r>
          </w:p>
        </w:tc>
        <w:tc>
          <w:tcPr>
            <w:tcW w:w="4233" w:type="pct"/>
            <w:gridSpan w:val="5"/>
            <w:vAlign w:val="center"/>
          </w:tcPr>
          <w:p w14:paraId="5F9BB94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r>
      <w:tr w14:paraId="75105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40D1831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Original result</w:t>
            </w:r>
          </w:p>
        </w:tc>
        <w:tc>
          <w:tcPr>
            <w:tcW w:w="821" w:type="pct"/>
            <w:vAlign w:val="center"/>
          </w:tcPr>
          <w:p w14:paraId="21EB1BF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0.005</w:t>
            </w:r>
          </w:p>
        </w:tc>
        <w:tc>
          <w:tcPr>
            <w:tcW w:w="875" w:type="pct"/>
            <w:vAlign w:val="center"/>
          </w:tcPr>
          <w:p w14:paraId="2DA5FE5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default" w:ascii="Times New Roman" w:hAnsi="Times New Roman" w:eastAsia="宋体" w:cs="Times New Roman"/>
                <w:sz w:val="18"/>
                <w:szCs w:val="18"/>
                <w:lang w:val="en-US" w:eastAsia="zh-CN"/>
                <w14:ligatures w14:val="none"/>
              </w:rPr>
              <w:t xml:space="preserve">0.008, −0.003] </w:t>
            </w:r>
          </w:p>
        </w:tc>
        <w:tc>
          <w:tcPr>
            <w:tcW w:w="894" w:type="pct"/>
            <w:vAlign w:val="center"/>
          </w:tcPr>
          <w:p w14:paraId="3898CE9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&gt;</w:t>
            </w:r>
            <w:r>
              <w:rPr>
                <w:rFonts w:hint="eastAsia" w:ascii="Times New Roman" w:hAnsi="Times New Roman" w:eastAsia="宋体" w:cs="Times New Roman"/>
                <w:sz w:val="18"/>
                <w:szCs w:val="18"/>
                <w14:ligatures w14:val="none"/>
              </w:rPr>
              <w:t>500</w:t>
            </w:r>
          </w:p>
        </w:tc>
        <w:tc>
          <w:tcPr>
            <w:tcW w:w="821" w:type="pct"/>
            <w:vAlign w:val="center"/>
          </w:tcPr>
          <w:p w14:paraId="6EADC75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0.32</w:t>
            </w:r>
          </w:p>
        </w:tc>
        <w:tc>
          <w:tcPr>
            <w:tcW w:w="821" w:type="pct"/>
            <w:vAlign w:val="center"/>
          </w:tcPr>
          <w:p w14:paraId="078937A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0.46, 0.18]</w:t>
            </w:r>
          </w:p>
        </w:tc>
      </w:tr>
      <w:tr w14:paraId="44444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2524FD9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This study</w:t>
            </w:r>
          </w:p>
        </w:tc>
        <w:tc>
          <w:tcPr>
            <w:tcW w:w="821" w:type="pct"/>
            <w:vAlign w:val="center"/>
          </w:tcPr>
          <w:p w14:paraId="60C9A68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0.005</w:t>
            </w:r>
          </w:p>
        </w:tc>
        <w:tc>
          <w:tcPr>
            <w:tcW w:w="875" w:type="pct"/>
            <w:vAlign w:val="center"/>
          </w:tcPr>
          <w:p w14:paraId="13C1A08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default" w:ascii="Times New Roman" w:hAnsi="Times New Roman" w:eastAsia="宋体" w:cs="Times New Roman"/>
                <w:sz w:val="18"/>
                <w:szCs w:val="18"/>
                <w:lang w:val="en-US" w:eastAsia="zh-CN"/>
                <w14:ligatures w14:val="none"/>
              </w:rPr>
              <w:t xml:space="preserve">0.008, −0.003] </w:t>
            </w:r>
          </w:p>
        </w:tc>
        <w:tc>
          <w:tcPr>
            <w:tcW w:w="894" w:type="pct"/>
            <w:vAlign w:val="center"/>
          </w:tcPr>
          <w:p w14:paraId="1D114BD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&gt;</w:t>
            </w:r>
            <w:r>
              <w:rPr>
                <w:rFonts w:hint="eastAsia" w:ascii="Times New Roman" w:hAnsi="Times New Roman" w:eastAsia="宋体" w:cs="Times New Roman"/>
                <w:sz w:val="18"/>
                <w:szCs w:val="18"/>
                <w14:ligatures w14:val="none"/>
              </w:rPr>
              <w:t>500</w:t>
            </w:r>
          </w:p>
        </w:tc>
        <w:tc>
          <w:tcPr>
            <w:tcW w:w="821" w:type="pct"/>
            <w:vAlign w:val="center"/>
          </w:tcPr>
          <w:p w14:paraId="5B6EFB6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0.32</w:t>
            </w:r>
          </w:p>
        </w:tc>
        <w:tc>
          <w:tcPr>
            <w:tcW w:w="821" w:type="pct"/>
            <w:vAlign w:val="center"/>
          </w:tcPr>
          <w:p w14:paraId="01D17A6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0.46, 0.18]</w:t>
            </w:r>
          </w:p>
        </w:tc>
      </w:tr>
      <w:tr w14:paraId="627454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4FF0038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ascii="Times New Roman" w:hAnsi="Times New Roman" w:eastAsia="宋体" w:cs="Times New Roman"/>
                <w:i/>
                <w:iCs/>
                <w:szCs w:val="24"/>
                <w14:ligatures w14:val="none"/>
              </w:rPr>
              <w:t>δ</w:t>
            </w:r>
          </w:p>
        </w:tc>
        <w:tc>
          <w:tcPr>
            <w:tcW w:w="821" w:type="pct"/>
            <w:vAlign w:val="center"/>
          </w:tcPr>
          <w:p w14:paraId="6845F4D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75" w:type="pct"/>
            <w:vAlign w:val="center"/>
          </w:tcPr>
          <w:p w14:paraId="0C404AB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94" w:type="pct"/>
            <w:vAlign w:val="center"/>
          </w:tcPr>
          <w:p w14:paraId="7BDC7E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5D4AFCE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18E3A2C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r w14:paraId="17680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1D2562C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Rating</w:t>
            </w:r>
          </w:p>
        </w:tc>
        <w:tc>
          <w:tcPr>
            <w:tcW w:w="821" w:type="pct"/>
            <w:vAlign w:val="center"/>
          </w:tcPr>
          <w:p w14:paraId="417FFA2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75" w:type="pct"/>
            <w:vAlign w:val="center"/>
          </w:tcPr>
          <w:p w14:paraId="34E801B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94" w:type="pct"/>
            <w:vAlign w:val="center"/>
          </w:tcPr>
          <w:p w14:paraId="34E1DDD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vAlign w:val="center"/>
          </w:tcPr>
          <w:p w14:paraId="098BB9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vAlign w:val="center"/>
          </w:tcPr>
          <w:p w14:paraId="7BC96A1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r>
      <w:tr w14:paraId="36479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538E992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Study4</w:t>
            </w:r>
          </w:p>
        </w:tc>
        <w:tc>
          <w:tcPr>
            <w:tcW w:w="4233" w:type="pct"/>
            <w:gridSpan w:val="5"/>
            <w:vAlign w:val="center"/>
          </w:tcPr>
          <w:p w14:paraId="5A49163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r>
      <w:tr w14:paraId="1AD89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0AAEB3B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Original result</w:t>
            </w:r>
          </w:p>
        </w:tc>
        <w:tc>
          <w:tcPr>
            <w:tcW w:w="821" w:type="pct"/>
            <w:vAlign w:val="center"/>
          </w:tcPr>
          <w:p w14:paraId="594B0A5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0.006</w:t>
            </w:r>
          </w:p>
        </w:tc>
        <w:tc>
          <w:tcPr>
            <w:tcW w:w="875" w:type="pct"/>
            <w:vAlign w:val="center"/>
          </w:tcPr>
          <w:p w14:paraId="1F0557C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default" w:ascii="Times New Roman" w:hAnsi="Times New Roman" w:eastAsia="宋体" w:cs="Times New Roman"/>
                <w:sz w:val="18"/>
                <w:szCs w:val="18"/>
                <w:lang w:val="en-US" w:eastAsia="zh-CN"/>
                <w14:ligatures w14:val="none"/>
              </w:rPr>
              <w:t xml:space="preserve">0.01, 0.00] </w:t>
            </w:r>
          </w:p>
        </w:tc>
        <w:tc>
          <w:tcPr>
            <w:tcW w:w="894" w:type="pct"/>
            <w:vAlign w:val="center"/>
          </w:tcPr>
          <w:p w14:paraId="64A9C77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0.60</w:t>
            </w:r>
          </w:p>
        </w:tc>
        <w:tc>
          <w:tcPr>
            <w:tcW w:w="821" w:type="pct"/>
            <w:vAlign w:val="center"/>
          </w:tcPr>
          <w:p w14:paraId="5A6BE92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0.13</w:t>
            </w:r>
          </w:p>
        </w:tc>
        <w:tc>
          <w:tcPr>
            <w:tcW w:w="821" w:type="pct"/>
            <w:vAlign w:val="center"/>
          </w:tcPr>
          <w:p w14:paraId="0A25997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0.26,0.004]</w:t>
            </w:r>
          </w:p>
        </w:tc>
      </w:tr>
      <w:tr w14:paraId="37AC0E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6F3D00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This study</w:t>
            </w:r>
          </w:p>
        </w:tc>
        <w:tc>
          <w:tcPr>
            <w:tcW w:w="821" w:type="pct"/>
            <w:vAlign w:val="center"/>
          </w:tcPr>
          <w:p w14:paraId="339EEAC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0.006</w:t>
            </w:r>
          </w:p>
        </w:tc>
        <w:tc>
          <w:tcPr>
            <w:tcW w:w="875" w:type="pct"/>
            <w:vAlign w:val="center"/>
          </w:tcPr>
          <w:p w14:paraId="2D08EEF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default" w:ascii="Times New Roman" w:hAnsi="Times New Roman" w:eastAsia="宋体" w:cs="Times New Roman"/>
                <w:sz w:val="18"/>
                <w:szCs w:val="18"/>
                <w:lang w:val="en-US" w:eastAsia="zh-CN"/>
                <w14:ligatures w14:val="none"/>
              </w:rPr>
              <w:t xml:space="preserve">0.01, 0.00] </w:t>
            </w:r>
          </w:p>
        </w:tc>
        <w:tc>
          <w:tcPr>
            <w:tcW w:w="894" w:type="pct"/>
            <w:vAlign w:val="center"/>
          </w:tcPr>
          <w:p w14:paraId="53E87D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14:ligatures w14:val="none"/>
              </w:rPr>
              <w:t>0.</w:t>
            </w:r>
            <w:r>
              <w:rPr>
                <w:rFonts w:hint="eastAsia" w:ascii="Times New Roman" w:hAnsi="Times New Roman" w:eastAsia="宋体" w:cs="Times New Roman"/>
                <w:sz w:val="18"/>
                <w:szCs w:val="18"/>
                <w:lang w:val="en-US" w:eastAsia="zh-CN"/>
                <w14:ligatures w14:val="none"/>
              </w:rPr>
              <w:t>59</w:t>
            </w:r>
          </w:p>
        </w:tc>
        <w:tc>
          <w:tcPr>
            <w:tcW w:w="821" w:type="pct"/>
            <w:vAlign w:val="center"/>
          </w:tcPr>
          <w:p w14:paraId="7706BDC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0.13</w:t>
            </w:r>
          </w:p>
        </w:tc>
        <w:tc>
          <w:tcPr>
            <w:tcW w:w="821" w:type="pct"/>
            <w:vAlign w:val="center"/>
          </w:tcPr>
          <w:p w14:paraId="2728C15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lang w:val="en-US" w:eastAsia="zh-CN"/>
                <w14:ligatures w14:val="none"/>
              </w:rPr>
              <w:t>−</w:t>
            </w:r>
            <w:r>
              <w:rPr>
                <w:rFonts w:hint="eastAsia" w:ascii="Times New Roman" w:hAnsi="Times New Roman" w:eastAsia="宋体" w:cs="Times New Roman"/>
                <w:sz w:val="18"/>
                <w:szCs w:val="18"/>
                <w14:ligatures w14:val="none"/>
              </w:rPr>
              <w:t>0.26,0.004]</w:t>
            </w:r>
          </w:p>
        </w:tc>
      </w:tr>
      <w:tr w14:paraId="5F537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shd w:val="clear" w:color="auto" w:fill="auto"/>
            <w:vAlign w:val="center"/>
          </w:tcPr>
          <w:p w14:paraId="1373201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ascii="Times New Roman" w:hAnsi="Times New Roman" w:eastAsia="宋体" w:cs="Times New Roman"/>
                <w:i/>
                <w:iCs/>
                <w:szCs w:val="24"/>
                <w14:ligatures w14:val="none"/>
              </w:rPr>
              <w:t>δ</w:t>
            </w:r>
          </w:p>
        </w:tc>
        <w:tc>
          <w:tcPr>
            <w:tcW w:w="821" w:type="pct"/>
            <w:vAlign w:val="center"/>
          </w:tcPr>
          <w:p w14:paraId="5241E5F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75" w:type="pct"/>
            <w:vAlign w:val="center"/>
          </w:tcPr>
          <w:p w14:paraId="0E485C4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94" w:type="pct"/>
            <w:vAlign w:val="center"/>
          </w:tcPr>
          <w:p w14:paraId="7AB6C90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0.1</w:t>
            </w:r>
          </w:p>
        </w:tc>
        <w:tc>
          <w:tcPr>
            <w:tcW w:w="821" w:type="pct"/>
            <w:vAlign w:val="center"/>
          </w:tcPr>
          <w:p w14:paraId="759C14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821" w:type="pct"/>
            <w:vAlign w:val="center"/>
          </w:tcPr>
          <w:p w14:paraId="13CDA56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r w14:paraId="0A3E1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trPr>
        <w:tc>
          <w:tcPr>
            <w:tcW w:w="766" w:type="pct"/>
            <w:tcBorders>
              <w:bottom w:val="single" w:color="auto" w:sz="12" w:space="0"/>
            </w:tcBorders>
            <w:shd w:val="clear" w:color="auto" w:fill="auto"/>
            <w:vAlign w:val="center"/>
          </w:tcPr>
          <w:p w14:paraId="2230159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Rating</w:t>
            </w:r>
          </w:p>
        </w:tc>
        <w:tc>
          <w:tcPr>
            <w:tcW w:w="821" w:type="pct"/>
            <w:tcBorders>
              <w:bottom w:val="single" w:color="auto" w:sz="12" w:space="0"/>
            </w:tcBorders>
            <w:vAlign w:val="center"/>
          </w:tcPr>
          <w:p w14:paraId="3D092F4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75" w:type="pct"/>
            <w:tcBorders>
              <w:bottom w:val="single" w:color="auto" w:sz="12" w:space="0"/>
            </w:tcBorders>
            <w:vAlign w:val="center"/>
          </w:tcPr>
          <w:p w14:paraId="1BF203D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94" w:type="pct"/>
            <w:tcBorders>
              <w:bottom w:val="single" w:color="auto" w:sz="12" w:space="0"/>
            </w:tcBorders>
            <w:vAlign w:val="center"/>
          </w:tcPr>
          <w:p w14:paraId="4F979F4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tcBorders>
              <w:bottom w:val="single" w:color="auto" w:sz="12" w:space="0"/>
            </w:tcBorders>
            <w:vAlign w:val="center"/>
          </w:tcPr>
          <w:p w14:paraId="263C544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c>
          <w:tcPr>
            <w:tcW w:w="821" w:type="pct"/>
            <w:tcBorders>
              <w:bottom w:val="single" w:color="auto" w:sz="12" w:space="0"/>
            </w:tcBorders>
            <w:vAlign w:val="center"/>
          </w:tcPr>
          <w:p w14:paraId="72DC640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lang w:val="en-US" w:eastAsia="zh-CN"/>
                <w14:ligatures w14:val="none"/>
              </w:rPr>
              <w:t>Fully replicated</w:t>
            </w:r>
          </w:p>
        </w:tc>
      </w:tr>
    </w:tbl>
    <w:p w14:paraId="27255371">
      <w:pPr>
        <w:spacing w:line="360" w:lineRule="auto"/>
        <w:contextualSpacing/>
        <w:rPr>
          <w:rFonts w:hint="eastAsia" w:ascii="Times New Roman" w:hAnsi="Times New Roman" w:eastAsia="宋体" w:cs="Times New Roman"/>
          <w:b/>
          <w:bCs/>
          <w:szCs w:val="24"/>
          <w14:ligatures w14:val="none"/>
        </w:rPr>
      </w:pPr>
    </w:p>
    <w:p w14:paraId="35DC7FF9">
      <w:pPr>
        <w:pStyle w:val="3"/>
        <w:bidi w:val="0"/>
        <w:rPr>
          <w:rFonts w:hint="default"/>
          <w:lang w:val="en-US" w:eastAsia="zh-CN"/>
        </w:rPr>
      </w:pPr>
      <w:r>
        <w:rPr>
          <w:rFonts w:hint="eastAsia"/>
        </w:rPr>
        <w:t xml:space="preserve">3.2 </w:t>
      </w:r>
      <w:r>
        <w:rPr>
          <w:rFonts w:hint="eastAsia"/>
          <w:lang w:val="en-US" w:eastAsia="zh-CN"/>
        </w:rPr>
        <w:t>整体研究复现的结果</w:t>
      </w:r>
    </w:p>
    <w:p w14:paraId="5BA77464">
      <w:pPr>
        <w:keepNext w:val="0"/>
        <w:keepLines w:val="0"/>
        <w:pageBreakBefore w:val="0"/>
        <w:widowControl w:val="0"/>
        <w:kinsoku/>
        <w:wordWrap/>
        <w:overflowPunct/>
        <w:topLinePunct w:val="0"/>
        <w:autoSpaceDE/>
        <w:autoSpaceDN/>
        <w:bidi w:val="0"/>
        <w:adjustRightInd/>
        <w:snapToGrid/>
        <w:spacing w:line="360" w:lineRule="auto"/>
        <w:ind w:firstLine="420" w:firstLineChars="200"/>
        <w:contextualSpacing/>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在单个研究分析的基础上，本研究进一步整合四项研究的数据，建立三级贝叶斯层级模型，以估计认知努力对决策边界的总体影响。10次重复分析均表明，高认知负荷条件相较于控制条件降低了参与者的决策边界，其参数估计保持高度稳定（b = −0.004，95% HPD = [−0.005, −0.002]），标准化效应量为 d = −0.15（95% HPD = [−0.22, −0.07]），均与原研究报告结果一致。</w:t>
      </w:r>
    </w:p>
    <w:p w14:paraId="414C89AB">
      <w:pPr>
        <w:keepNext w:val="0"/>
        <w:keepLines w:val="0"/>
        <w:pageBreakBefore w:val="0"/>
        <w:widowControl w:val="0"/>
        <w:kinsoku/>
        <w:wordWrap/>
        <w:overflowPunct/>
        <w:topLinePunct w:val="0"/>
        <w:autoSpaceDE/>
        <w:autoSpaceDN/>
        <w:bidi w:val="0"/>
        <w:adjustRightInd/>
        <w:snapToGrid/>
        <w:spacing w:line="360" w:lineRule="auto"/>
        <w:ind w:firstLine="420" w:firstLineChars="200"/>
        <w:contextualSpacing/>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与参数估计相比，贝叶斯因子的复现表现出一定程度的波动。10次桥采样所得 BF 值范围为38.61–74.48，均高于原研究报告的29.10。然而，所有重复结果均支持包含实验条件效应的完整模型，与原研究的统计推断保持一致。该结果表明，虽然基于边际似然的模型比较指标可能受到数值估计过程的影响而产生差异，但核心效应估计及理论结论具有较好的稳定性。</w:t>
      </w:r>
    </w:p>
    <w:p w14:paraId="7737A98B">
      <w:pPr>
        <w:keepNext w:val="0"/>
        <w:keepLines w:val="0"/>
        <w:pageBreakBefore w:val="0"/>
        <w:widowControl w:val="0"/>
        <w:kinsoku/>
        <w:wordWrap/>
        <w:overflowPunct/>
        <w:topLinePunct w:val="0"/>
        <w:autoSpaceDE/>
        <w:autoSpaceDN/>
        <w:bidi w:val="0"/>
        <w:adjustRightInd/>
        <w:snapToGrid/>
        <w:spacing w:line="360" w:lineRule="auto"/>
        <w:contextualSpacing/>
        <w:textAlignment w:val="auto"/>
        <w:rPr>
          <w:rFonts w:hint="eastAsia" w:ascii="Times New Roman" w:hAnsi="Times New Roman" w:eastAsia="宋体" w:cs="Times New Roman"/>
          <w:szCs w:val="24"/>
          <w14:ligatures w14:val="none"/>
        </w:rPr>
      </w:pPr>
    </w:p>
    <w:p w14:paraId="3E478F43">
      <w:pPr>
        <w:keepNext w:val="0"/>
        <w:keepLines w:val="0"/>
        <w:pageBreakBefore w:val="0"/>
        <w:widowControl w:val="0"/>
        <w:kinsoku/>
        <w:wordWrap/>
        <w:overflowPunct/>
        <w:topLinePunct w:val="0"/>
        <w:autoSpaceDE/>
        <w:autoSpaceDN/>
        <w:bidi w:val="0"/>
        <w:adjustRightInd/>
        <w:snapToGrid/>
        <w:spacing w:line="360" w:lineRule="auto"/>
        <w:ind w:firstLine="420" w:firstLineChars="200"/>
        <w:contextualSpacing/>
        <w:textAlignment w:val="auto"/>
        <w:rPr>
          <w:rFonts w:hint="eastAsia" w:ascii="Times New Roman" w:hAnsi="Times New Roman" w:eastAsia="宋体" w:cs="Times New Roman"/>
          <w:szCs w:val="24"/>
          <w14:ligatures w14:val="none"/>
        </w:rPr>
      </w:pPr>
    </w:p>
    <w:p w14:paraId="5AFF0C8E">
      <w:pPr>
        <w:keepNext w:val="0"/>
        <w:keepLines w:val="0"/>
        <w:pageBreakBefore w:val="0"/>
        <w:widowControl w:val="0"/>
        <w:kinsoku/>
        <w:wordWrap/>
        <w:overflowPunct/>
        <w:topLinePunct w:val="0"/>
        <w:autoSpaceDE/>
        <w:autoSpaceDN/>
        <w:bidi w:val="0"/>
        <w:adjustRightInd/>
        <w:snapToGrid/>
        <w:spacing w:line="80" w:lineRule="atLeast"/>
        <w:jc w:val="center"/>
        <w:textAlignment w:val="auto"/>
        <w:rPr>
          <w:rFonts w:hint="eastAsia" w:ascii="Times New Roman" w:hAnsi="Times New Roman" w:eastAsia="宋体" w:cs="Times New Roman"/>
          <w:szCs w:val="24"/>
          <w14:ligatures w14:val="none"/>
        </w:rPr>
      </w:pPr>
      <w:r>
        <w:rPr>
          <w:rFonts w:ascii="Times New Roman" w:hAnsi="Times New Roman" w:eastAsia="宋体" w:cs="Times New Roman"/>
          <w:b/>
          <w:bCs/>
          <w:sz w:val="18"/>
          <w:szCs w:val="18"/>
          <w14:ligatures w14:val="none"/>
        </w:rPr>
        <w:t xml:space="preserve">表 </w:t>
      </w:r>
      <w:r>
        <w:rPr>
          <w:rFonts w:hint="eastAsia" w:ascii="Times New Roman" w:hAnsi="Times New Roman" w:eastAsia="宋体" w:cs="Times New Roman"/>
          <w:b/>
          <w:bCs/>
          <w:sz w:val="18"/>
          <w:szCs w:val="18"/>
          <w14:ligatures w14:val="none"/>
        </w:rPr>
        <w:t>3</w:t>
      </w:r>
      <w:r>
        <w:rPr>
          <w:rFonts w:ascii="Times New Roman" w:hAnsi="Times New Roman" w:eastAsia="宋体" w:cs="Times New Roman"/>
          <w:b/>
          <w:bCs/>
          <w:sz w:val="18"/>
          <w:szCs w:val="18"/>
          <w14:ligatures w14:val="none"/>
        </w:rPr>
        <w:t xml:space="preserve"> </w:t>
      </w:r>
      <w:r>
        <w:rPr>
          <w:rFonts w:hint="eastAsia" w:ascii="Times New Roman" w:hAnsi="Times New Roman" w:eastAsia="宋体" w:cs="Times New Roman"/>
          <w:b/>
          <w:bCs/>
          <w:sz w:val="18"/>
          <w:szCs w:val="18"/>
          <w:lang w:val="en-US" w:eastAsia="zh-CN"/>
          <w14:ligatures w14:val="none"/>
        </w:rPr>
        <w:t>汇总研究中</w:t>
      </w:r>
      <w:r>
        <w:rPr>
          <w:rFonts w:ascii="Times New Roman" w:hAnsi="Times New Roman" w:eastAsia="宋体" w:cs="Times New Roman"/>
          <w:b/>
          <w:bCs/>
          <w:sz w:val="18"/>
          <w:szCs w:val="18"/>
          <w14:ligatures w14:val="none"/>
        </w:rPr>
        <w:t>实验条件对决策边界（Boundary）的影响</w:t>
      </w:r>
    </w:p>
    <w:tbl>
      <w:tblPr>
        <w:tblStyle w:val="7"/>
        <w:tblW w:w="4998"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91"/>
        <w:gridCol w:w="1374"/>
        <w:gridCol w:w="1414"/>
        <w:gridCol w:w="1689"/>
        <w:gridCol w:w="1374"/>
        <w:gridCol w:w="1377"/>
      </w:tblGrid>
      <w:tr w14:paraId="6049DB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vMerge w:val="restart"/>
            <w:tcBorders>
              <w:top w:val="single" w:color="auto" w:sz="12" w:space="0"/>
            </w:tcBorders>
            <w:vAlign w:val="center"/>
          </w:tcPr>
          <w:p w14:paraId="2771FF4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c>
          <w:tcPr>
            <w:tcW w:w="4241" w:type="pct"/>
            <w:gridSpan w:val="5"/>
            <w:tcBorders>
              <w:top w:val="single" w:color="auto" w:sz="12" w:space="0"/>
            </w:tcBorders>
            <w:vAlign w:val="center"/>
          </w:tcPr>
          <w:p w14:paraId="0DFF3F0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Measure</w:t>
            </w:r>
          </w:p>
        </w:tc>
      </w:tr>
      <w:tr w14:paraId="0D4F22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vMerge w:val="continue"/>
            <w:tcBorders>
              <w:bottom w:val="single" w:color="auto" w:sz="4" w:space="0"/>
            </w:tcBorders>
            <w:vAlign w:val="center"/>
          </w:tcPr>
          <w:p w14:paraId="6019B4B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p>
        </w:tc>
        <w:tc>
          <w:tcPr>
            <w:tcW w:w="806" w:type="pct"/>
            <w:tcBorders>
              <w:bottom w:val="single" w:color="auto" w:sz="4" w:space="0"/>
            </w:tcBorders>
            <w:vAlign w:val="center"/>
          </w:tcPr>
          <w:p w14:paraId="37B8DE3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i/>
                <w:iCs/>
                <w:sz w:val="18"/>
                <w:szCs w:val="18"/>
                <w14:ligatures w14:val="none"/>
              </w:rPr>
            </w:pPr>
            <w:r>
              <w:rPr>
                <w:rFonts w:hint="eastAsia" w:ascii="Times New Roman" w:hAnsi="Times New Roman" w:eastAsia="宋体" w:cs="Times New Roman"/>
                <w:i/>
                <w:iCs/>
                <w:sz w:val="18"/>
                <w:szCs w:val="18"/>
                <w:lang w:val="en-US" w:eastAsia="zh-CN"/>
                <w14:ligatures w14:val="none"/>
              </w:rPr>
              <w:t>b</w:t>
            </w:r>
          </w:p>
        </w:tc>
        <w:tc>
          <w:tcPr>
            <w:tcW w:w="830" w:type="pct"/>
            <w:tcBorders>
              <w:bottom w:val="single" w:color="auto" w:sz="4" w:space="0"/>
            </w:tcBorders>
            <w:vAlign w:val="center"/>
          </w:tcPr>
          <w:p w14:paraId="4492261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i/>
                <w:iCs/>
                <w:sz w:val="18"/>
                <w:szCs w:val="18"/>
                <w14:ligatures w14:val="none"/>
              </w:rPr>
            </w:pPr>
            <w:r>
              <w:rPr>
                <w:rFonts w:hint="eastAsia" w:ascii="Times New Roman" w:hAnsi="Times New Roman" w:eastAsia="宋体" w:cs="Times New Roman"/>
                <w:i/>
                <w:iCs/>
                <w:sz w:val="18"/>
                <w:szCs w:val="18"/>
                <w:lang w:val="en-US" w:eastAsia="zh-CN"/>
                <w14:ligatures w14:val="none"/>
              </w:rPr>
              <w:t>95%HPD</w:t>
            </w:r>
          </w:p>
        </w:tc>
        <w:tc>
          <w:tcPr>
            <w:tcW w:w="991" w:type="pct"/>
            <w:tcBorders>
              <w:bottom w:val="single" w:color="auto" w:sz="4" w:space="0"/>
            </w:tcBorders>
            <w:vAlign w:val="center"/>
          </w:tcPr>
          <w:p w14:paraId="1D3F6C0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i/>
                <w:iCs/>
                <w:sz w:val="18"/>
                <w:szCs w:val="18"/>
                <w:lang w:val="en-US" w:eastAsia="zh-CN"/>
                <w14:ligatures w14:val="none"/>
              </w:rPr>
              <w:t>BF</w:t>
            </w:r>
          </w:p>
        </w:tc>
        <w:tc>
          <w:tcPr>
            <w:tcW w:w="806" w:type="pct"/>
            <w:tcBorders>
              <w:bottom w:val="single" w:color="auto" w:sz="4" w:space="0"/>
            </w:tcBorders>
            <w:vAlign w:val="center"/>
          </w:tcPr>
          <w:p w14:paraId="59B674A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i/>
                <w:iCs/>
                <w:sz w:val="18"/>
                <w:szCs w:val="18"/>
                <w:lang w:val="en-US" w:eastAsia="zh-CN"/>
                <w14:ligatures w14:val="none"/>
              </w:rPr>
              <w:t>d</w:t>
            </w:r>
          </w:p>
        </w:tc>
        <w:tc>
          <w:tcPr>
            <w:tcW w:w="806" w:type="pct"/>
            <w:tcBorders>
              <w:bottom w:val="single" w:color="auto" w:sz="4" w:space="0"/>
            </w:tcBorders>
            <w:vAlign w:val="center"/>
          </w:tcPr>
          <w:p w14:paraId="0855EE5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i/>
                <w:iCs/>
                <w:sz w:val="18"/>
                <w:szCs w:val="18"/>
                <w14:ligatures w14:val="none"/>
              </w:rPr>
            </w:pPr>
            <w:r>
              <w:rPr>
                <w:rFonts w:hint="eastAsia" w:ascii="Times New Roman" w:hAnsi="Times New Roman" w:eastAsia="宋体" w:cs="Times New Roman"/>
                <w:i/>
                <w:iCs/>
                <w:sz w:val="18"/>
                <w:szCs w:val="18"/>
                <w:lang w:val="en-US" w:eastAsia="zh-CN"/>
                <w14:ligatures w14:val="none"/>
              </w:rPr>
              <w:t>95%HPD</w:t>
            </w:r>
          </w:p>
        </w:tc>
      </w:tr>
      <w:tr w14:paraId="7F4E5F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single" w:color="auto" w:sz="4" w:space="0"/>
              <w:bottom w:val="nil"/>
            </w:tcBorders>
            <w:vAlign w:val="center"/>
          </w:tcPr>
          <w:p w14:paraId="1E3B1CE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Original result</w:t>
            </w:r>
          </w:p>
        </w:tc>
        <w:tc>
          <w:tcPr>
            <w:tcW w:w="806" w:type="pct"/>
            <w:tcBorders>
              <w:top w:val="single" w:color="auto" w:sz="4" w:space="0"/>
              <w:bottom w:val="nil"/>
            </w:tcBorders>
            <w:vAlign w:val="center"/>
          </w:tcPr>
          <w:p w14:paraId="767587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14:ligatures w14:val="none"/>
              </w:rPr>
              <w:t>−0.004</w:t>
            </w:r>
          </w:p>
        </w:tc>
        <w:tc>
          <w:tcPr>
            <w:tcW w:w="830" w:type="pct"/>
            <w:tcBorders>
              <w:top w:val="single" w:color="auto" w:sz="4" w:space="0"/>
              <w:bottom w:val="nil"/>
            </w:tcBorders>
            <w:vAlign w:val="center"/>
          </w:tcPr>
          <w:p w14:paraId="5BD4DEF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single" w:color="auto" w:sz="4" w:space="0"/>
              <w:bottom w:val="nil"/>
            </w:tcBorders>
            <w:vAlign w:val="center"/>
          </w:tcPr>
          <w:p w14:paraId="060FDD9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29.10</w:t>
            </w:r>
          </w:p>
        </w:tc>
        <w:tc>
          <w:tcPr>
            <w:tcW w:w="806" w:type="pct"/>
            <w:tcBorders>
              <w:top w:val="single" w:color="auto" w:sz="4" w:space="0"/>
              <w:bottom w:val="nil"/>
            </w:tcBorders>
            <w:vAlign w:val="center"/>
          </w:tcPr>
          <w:p w14:paraId="7E4B3A2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14:ligatures w14:val="none"/>
              </w:rPr>
              <w:t>−0.15</w:t>
            </w:r>
          </w:p>
        </w:tc>
        <w:tc>
          <w:tcPr>
            <w:tcW w:w="806" w:type="pct"/>
            <w:tcBorders>
              <w:top w:val="single" w:color="auto" w:sz="4" w:space="0"/>
              <w:bottom w:val="nil"/>
            </w:tcBorders>
            <w:vAlign w:val="center"/>
          </w:tcPr>
          <w:p w14:paraId="3234AED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[−0.22, −0.07]</w:t>
            </w:r>
          </w:p>
        </w:tc>
      </w:tr>
      <w:tr w14:paraId="781922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584889F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Replication 1</w:t>
            </w:r>
          </w:p>
        </w:tc>
        <w:tc>
          <w:tcPr>
            <w:tcW w:w="806" w:type="pct"/>
            <w:tcBorders>
              <w:top w:val="nil"/>
              <w:bottom w:val="nil"/>
            </w:tcBorders>
            <w:vAlign w:val="center"/>
          </w:tcPr>
          <w:p w14:paraId="3448749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vAlign w:val="center"/>
          </w:tcPr>
          <w:p w14:paraId="1670F00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vAlign w:val="center"/>
          </w:tcPr>
          <w:p w14:paraId="40773C6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38.61</w:t>
            </w:r>
          </w:p>
        </w:tc>
        <w:tc>
          <w:tcPr>
            <w:tcW w:w="806" w:type="pct"/>
            <w:tcBorders>
              <w:top w:val="nil"/>
              <w:bottom w:val="nil"/>
            </w:tcBorders>
            <w:vAlign w:val="center"/>
          </w:tcPr>
          <w:p w14:paraId="602CF52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vAlign w:val="center"/>
          </w:tcPr>
          <w:p w14:paraId="5C8EC5B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[−0.22, −0.07]</w:t>
            </w:r>
          </w:p>
        </w:tc>
      </w:tr>
      <w:tr w14:paraId="3A1B62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034F2E4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sz w:val="18"/>
                <w:szCs w:val="18"/>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vAlign w:val="center"/>
          </w:tcPr>
          <w:p w14:paraId="567018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vAlign w:val="center"/>
          </w:tcPr>
          <w:p w14:paraId="5FB1DDF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vAlign w:val="center"/>
          </w:tcPr>
          <w:p w14:paraId="17B6450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9.51</w:t>
            </w:r>
          </w:p>
        </w:tc>
        <w:tc>
          <w:tcPr>
            <w:tcW w:w="806" w:type="pct"/>
            <w:tcBorders>
              <w:top w:val="nil"/>
              <w:bottom w:val="nil"/>
            </w:tcBorders>
            <w:vAlign w:val="center"/>
          </w:tcPr>
          <w:p w14:paraId="6D2EA76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vAlign w:val="center"/>
          </w:tcPr>
          <w:p w14:paraId="0361E25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0</w:t>
            </w:r>
          </w:p>
        </w:tc>
      </w:tr>
      <w:tr w14:paraId="0F6CB3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745AA59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vAlign w:val="center"/>
          </w:tcPr>
          <w:p w14:paraId="26B6DB2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vAlign w:val="center"/>
          </w:tcPr>
          <w:p w14:paraId="6D35649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vAlign w:val="center"/>
          </w:tcPr>
          <w:p w14:paraId="5DD6C56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vAlign w:val="center"/>
          </w:tcPr>
          <w:p w14:paraId="04C8EC2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vAlign w:val="center"/>
          </w:tcPr>
          <w:p w14:paraId="05A08BF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Fully replicated</w:t>
            </w:r>
          </w:p>
        </w:tc>
      </w:tr>
      <w:tr w14:paraId="60CD3F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22EA2D8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2</w:t>
            </w:r>
          </w:p>
        </w:tc>
        <w:tc>
          <w:tcPr>
            <w:tcW w:w="806" w:type="pct"/>
            <w:tcBorders>
              <w:top w:val="nil"/>
              <w:bottom w:val="nil"/>
            </w:tcBorders>
            <w:shd w:val="clear" w:color="auto" w:fill="auto"/>
            <w:vAlign w:val="center"/>
          </w:tcPr>
          <w:p w14:paraId="5030FB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1DBBAFB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7EB1D4F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44.91</w:t>
            </w:r>
          </w:p>
        </w:tc>
        <w:tc>
          <w:tcPr>
            <w:tcW w:w="806" w:type="pct"/>
            <w:tcBorders>
              <w:top w:val="nil"/>
              <w:bottom w:val="nil"/>
            </w:tcBorders>
            <w:shd w:val="clear" w:color="auto" w:fill="auto"/>
            <w:vAlign w:val="center"/>
          </w:tcPr>
          <w:p w14:paraId="3B93240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39E6CD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6B27E1D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20033EF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i/>
                <w:iCs/>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0A7B4A5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6A04BF0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06419D4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15.81</w:t>
            </w:r>
          </w:p>
        </w:tc>
        <w:tc>
          <w:tcPr>
            <w:tcW w:w="806" w:type="pct"/>
            <w:tcBorders>
              <w:top w:val="nil"/>
              <w:bottom w:val="nil"/>
            </w:tcBorders>
            <w:shd w:val="clear" w:color="auto" w:fill="auto"/>
            <w:vAlign w:val="center"/>
          </w:tcPr>
          <w:p w14:paraId="6105115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326729B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705E2B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4F2B3A1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7A39C24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088FA7D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2A1A35D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5C30BD3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1C1B5ED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14F88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78C0435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14:ligatures w14:val="none"/>
              </w:rPr>
            </w:pPr>
            <w:r>
              <w:rPr>
                <w:rFonts w:hint="default" w:ascii="Times New Roman" w:hAnsi="Times New Roman" w:eastAsia="宋体" w:cs="Times New Roman"/>
                <w:sz w:val="18"/>
                <w:szCs w:val="18"/>
                <w:lang w:val="en-US" w:eastAsia="zh-CN"/>
                <w14:ligatures w14:val="none"/>
              </w:rPr>
              <w:t>Replication 3</w:t>
            </w:r>
          </w:p>
        </w:tc>
        <w:tc>
          <w:tcPr>
            <w:tcW w:w="806" w:type="pct"/>
            <w:tcBorders>
              <w:top w:val="nil"/>
              <w:bottom w:val="nil"/>
            </w:tcBorders>
            <w:shd w:val="clear" w:color="auto" w:fill="auto"/>
            <w:vAlign w:val="center"/>
          </w:tcPr>
          <w:p w14:paraId="74ED510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5A5AC91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6F0483E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44.03</w:t>
            </w:r>
          </w:p>
        </w:tc>
        <w:tc>
          <w:tcPr>
            <w:tcW w:w="806" w:type="pct"/>
            <w:tcBorders>
              <w:top w:val="nil"/>
              <w:bottom w:val="nil"/>
            </w:tcBorders>
            <w:shd w:val="clear" w:color="auto" w:fill="auto"/>
            <w:vAlign w:val="center"/>
          </w:tcPr>
          <w:p w14:paraId="76ABA17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0AE222E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64AEC6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03E1834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482FFEC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3F8F23C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7E81544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14.93</w:t>
            </w:r>
          </w:p>
        </w:tc>
        <w:tc>
          <w:tcPr>
            <w:tcW w:w="806" w:type="pct"/>
            <w:tcBorders>
              <w:top w:val="nil"/>
              <w:bottom w:val="nil"/>
            </w:tcBorders>
            <w:shd w:val="clear" w:color="auto" w:fill="auto"/>
            <w:vAlign w:val="center"/>
          </w:tcPr>
          <w:p w14:paraId="37D3304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66B5C1B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3190D2F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vAlign w:val="center"/>
          </w:tcPr>
          <w:p w14:paraId="7E07368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5E21460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74BECB5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1DEB812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0AF6702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650AD7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6625E2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259729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4</w:t>
            </w:r>
          </w:p>
        </w:tc>
        <w:tc>
          <w:tcPr>
            <w:tcW w:w="806" w:type="pct"/>
            <w:tcBorders>
              <w:top w:val="nil"/>
              <w:bottom w:val="nil"/>
            </w:tcBorders>
            <w:shd w:val="clear" w:color="auto" w:fill="auto"/>
            <w:vAlign w:val="center"/>
          </w:tcPr>
          <w:p w14:paraId="29D88B5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67844C2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3BA709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62.99</w:t>
            </w:r>
          </w:p>
        </w:tc>
        <w:tc>
          <w:tcPr>
            <w:tcW w:w="806" w:type="pct"/>
            <w:tcBorders>
              <w:top w:val="nil"/>
              <w:bottom w:val="nil"/>
            </w:tcBorders>
            <w:shd w:val="clear" w:color="auto" w:fill="auto"/>
            <w:vAlign w:val="center"/>
          </w:tcPr>
          <w:p w14:paraId="2B647E7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69CBC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75EF6C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114A17E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44AAB09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2EAF350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382B0D0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33.89</w:t>
            </w:r>
          </w:p>
        </w:tc>
        <w:tc>
          <w:tcPr>
            <w:tcW w:w="806" w:type="pct"/>
            <w:tcBorders>
              <w:top w:val="nil"/>
              <w:bottom w:val="nil"/>
            </w:tcBorders>
            <w:shd w:val="clear" w:color="auto" w:fill="auto"/>
            <w:vAlign w:val="center"/>
          </w:tcPr>
          <w:p w14:paraId="53A8E35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5A583B0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6D60EF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8D80CF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4515BEB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4D0A662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082B918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5D68FD7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0F215CB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3A728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7A7D735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5</w:t>
            </w:r>
          </w:p>
        </w:tc>
        <w:tc>
          <w:tcPr>
            <w:tcW w:w="806" w:type="pct"/>
            <w:tcBorders>
              <w:top w:val="nil"/>
              <w:bottom w:val="nil"/>
            </w:tcBorders>
            <w:shd w:val="clear" w:color="auto" w:fill="auto"/>
            <w:vAlign w:val="center"/>
          </w:tcPr>
          <w:p w14:paraId="53B94F2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739D904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61AEFD0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74.48</w:t>
            </w:r>
          </w:p>
        </w:tc>
        <w:tc>
          <w:tcPr>
            <w:tcW w:w="806" w:type="pct"/>
            <w:tcBorders>
              <w:top w:val="nil"/>
              <w:bottom w:val="nil"/>
            </w:tcBorders>
            <w:shd w:val="clear" w:color="auto" w:fill="auto"/>
            <w:vAlign w:val="center"/>
          </w:tcPr>
          <w:p w14:paraId="305FEAE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682543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4E0A66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CBE108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1891763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0BACBDC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6CF3653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45.38</w:t>
            </w:r>
          </w:p>
        </w:tc>
        <w:tc>
          <w:tcPr>
            <w:tcW w:w="806" w:type="pct"/>
            <w:tcBorders>
              <w:top w:val="nil"/>
              <w:bottom w:val="nil"/>
            </w:tcBorders>
            <w:shd w:val="clear" w:color="auto" w:fill="auto"/>
            <w:vAlign w:val="center"/>
          </w:tcPr>
          <w:p w14:paraId="6320178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019B38F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2AB4F6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838AFB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33E66D5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06AB36A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7B6CACF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378480C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1C65362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71AD71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FAB012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6</w:t>
            </w:r>
          </w:p>
        </w:tc>
        <w:tc>
          <w:tcPr>
            <w:tcW w:w="806" w:type="pct"/>
            <w:tcBorders>
              <w:top w:val="nil"/>
              <w:bottom w:val="nil"/>
            </w:tcBorders>
            <w:shd w:val="clear" w:color="auto" w:fill="auto"/>
            <w:vAlign w:val="center"/>
          </w:tcPr>
          <w:p w14:paraId="76028D5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4C5DDBE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2CB6465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66.23</w:t>
            </w:r>
          </w:p>
        </w:tc>
        <w:tc>
          <w:tcPr>
            <w:tcW w:w="806" w:type="pct"/>
            <w:tcBorders>
              <w:top w:val="nil"/>
              <w:bottom w:val="nil"/>
            </w:tcBorders>
            <w:shd w:val="clear" w:color="auto" w:fill="auto"/>
            <w:vAlign w:val="center"/>
          </w:tcPr>
          <w:p w14:paraId="33BC6C9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02008B6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3CBBC7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FE87F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5EDD779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21BF2B4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5E94602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37.13</w:t>
            </w:r>
          </w:p>
        </w:tc>
        <w:tc>
          <w:tcPr>
            <w:tcW w:w="806" w:type="pct"/>
            <w:tcBorders>
              <w:top w:val="nil"/>
              <w:bottom w:val="nil"/>
            </w:tcBorders>
            <w:shd w:val="clear" w:color="auto" w:fill="auto"/>
            <w:vAlign w:val="center"/>
          </w:tcPr>
          <w:p w14:paraId="535E830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7F5B7D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17E821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6E8A692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1EA42CE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2973C01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0880092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22B3BCB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2F11457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26346D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12A8178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7</w:t>
            </w:r>
          </w:p>
        </w:tc>
        <w:tc>
          <w:tcPr>
            <w:tcW w:w="806" w:type="pct"/>
            <w:tcBorders>
              <w:top w:val="nil"/>
              <w:bottom w:val="nil"/>
            </w:tcBorders>
            <w:shd w:val="clear" w:color="auto" w:fill="auto"/>
            <w:vAlign w:val="center"/>
          </w:tcPr>
          <w:p w14:paraId="1C2F891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1DF89FA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5A53586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43.03</w:t>
            </w:r>
          </w:p>
        </w:tc>
        <w:tc>
          <w:tcPr>
            <w:tcW w:w="806" w:type="pct"/>
            <w:tcBorders>
              <w:top w:val="nil"/>
              <w:bottom w:val="nil"/>
            </w:tcBorders>
            <w:shd w:val="clear" w:color="auto" w:fill="auto"/>
            <w:vAlign w:val="center"/>
          </w:tcPr>
          <w:p w14:paraId="08525E7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726D2FA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2884725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486601F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738CC5B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4794E9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4B3423D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13.93</w:t>
            </w:r>
          </w:p>
        </w:tc>
        <w:tc>
          <w:tcPr>
            <w:tcW w:w="806" w:type="pct"/>
            <w:tcBorders>
              <w:top w:val="nil"/>
              <w:bottom w:val="nil"/>
            </w:tcBorders>
            <w:shd w:val="clear" w:color="auto" w:fill="auto"/>
            <w:vAlign w:val="center"/>
          </w:tcPr>
          <w:p w14:paraId="424756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0E15B3A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64739B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7F0C63C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45326D7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10F03BF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7F74C1E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3921E3C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6C80EA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0ABF1D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647C48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8</w:t>
            </w:r>
          </w:p>
        </w:tc>
        <w:tc>
          <w:tcPr>
            <w:tcW w:w="806" w:type="pct"/>
            <w:tcBorders>
              <w:top w:val="nil"/>
              <w:bottom w:val="nil"/>
            </w:tcBorders>
            <w:shd w:val="clear" w:color="auto" w:fill="auto"/>
            <w:vAlign w:val="center"/>
          </w:tcPr>
          <w:p w14:paraId="02C7B36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466B82F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6D0FA3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54.66</w:t>
            </w:r>
          </w:p>
        </w:tc>
        <w:tc>
          <w:tcPr>
            <w:tcW w:w="806" w:type="pct"/>
            <w:tcBorders>
              <w:top w:val="nil"/>
              <w:bottom w:val="nil"/>
            </w:tcBorders>
            <w:shd w:val="clear" w:color="auto" w:fill="auto"/>
            <w:vAlign w:val="center"/>
          </w:tcPr>
          <w:p w14:paraId="2FDF3C7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6880555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40094E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42B44F7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221F8D0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7F0C9A6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5415751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25.56</w:t>
            </w:r>
          </w:p>
        </w:tc>
        <w:tc>
          <w:tcPr>
            <w:tcW w:w="806" w:type="pct"/>
            <w:tcBorders>
              <w:top w:val="nil"/>
              <w:bottom w:val="nil"/>
            </w:tcBorders>
            <w:shd w:val="clear" w:color="auto" w:fill="auto"/>
            <w:vAlign w:val="center"/>
          </w:tcPr>
          <w:p w14:paraId="796E98B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4B5C4CE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095085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3F42AE2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582E365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2B2C687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234D47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211E559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4AEDC59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462295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28509BC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9</w:t>
            </w:r>
          </w:p>
        </w:tc>
        <w:tc>
          <w:tcPr>
            <w:tcW w:w="806" w:type="pct"/>
            <w:tcBorders>
              <w:top w:val="nil"/>
              <w:bottom w:val="nil"/>
            </w:tcBorders>
            <w:shd w:val="clear" w:color="auto" w:fill="auto"/>
            <w:vAlign w:val="center"/>
          </w:tcPr>
          <w:p w14:paraId="176C36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49E47F8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7DB26DA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45.79</w:t>
            </w:r>
          </w:p>
        </w:tc>
        <w:tc>
          <w:tcPr>
            <w:tcW w:w="806" w:type="pct"/>
            <w:tcBorders>
              <w:top w:val="nil"/>
              <w:bottom w:val="nil"/>
            </w:tcBorders>
            <w:shd w:val="clear" w:color="auto" w:fill="auto"/>
            <w:vAlign w:val="center"/>
          </w:tcPr>
          <w:p w14:paraId="51C42E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10642DF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24427EE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29BDB95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3EC5E74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394C32B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351F32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16.69</w:t>
            </w:r>
          </w:p>
        </w:tc>
        <w:tc>
          <w:tcPr>
            <w:tcW w:w="806" w:type="pct"/>
            <w:tcBorders>
              <w:top w:val="nil"/>
              <w:bottom w:val="nil"/>
            </w:tcBorders>
            <w:shd w:val="clear" w:color="auto" w:fill="auto"/>
            <w:vAlign w:val="center"/>
          </w:tcPr>
          <w:p w14:paraId="5B6A22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25084DE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2FA0CF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158F198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nil"/>
            </w:tcBorders>
            <w:shd w:val="clear" w:color="auto" w:fill="auto"/>
            <w:vAlign w:val="center"/>
          </w:tcPr>
          <w:p w14:paraId="6E21F9D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nil"/>
            </w:tcBorders>
            <w:shd w:val="clear" w:color="auto" w:fill="auto"/>
            <w:vAlign w:val="center"/>
          </w:tcPr>
          <w:p w14:paraId="3038BE1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nil"/>
            </w:tcBorders>
            <w:shd w:val="clear" w:color="auto" w:fill="auto"/>
            <w:vAlign w:val="center"/>
          </w:tcPr>
          <w:p w14:paraId="69B7049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nil"/>
            </w:tcBorders>
            <w:shd w:val="clear" w:color="auto" w:fill="auto"/>
            <w:vAlign w:val="center"/>
          </w:tcPr>
          <w:p w14:paraId="0129F5D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nil"/>
            </w:tcBorders>
            <w:shd w:val="clear" w:color="auto" w:fill="auto"/>
            <w:vAlign w:val="center"/>
          </w:tcPr>
          <w:p w14:paraId="103EB1B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r w14:paraId="22EDC5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67B117F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Replication 10</w:t>
            </w:r>
          </w:p>
        </w:tc>
        <w:tc>
          <w:tcPr>
            <w:tcW w:w="806" w:type="pct"/>
            <w:tcBorders>
              <w:top w:val="nil"/>
              <w:bottom w:val="nil"/>
            </w:tcBorders>
            <w:shd w:val="clear" w:color="auto" w:fill="auto"/>
            <w:vAlign w:val="center"/>
          </w:tcPr>
          <w:p w14:paraId="3EB6B81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−0.004</w:t>
            </w:r>
          </w:p>
        </w:tc>
        <w:tc>
          <w:tcPr>
            <w:tcW w:w="830" w:type="pct"/>
            <w:tcBorders>
              <w:top w:val="nil"/>
              <w:bottom w:val="nil"/>
            </w:tcBorders>
            <w:shd w:val="clear" w:color="auto" w:fill="auto"/>
            <w:vAlign w:val="center"/>
          </w:tcPr>
          <w:p w14:paraId="1722FAB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[−0.005,−0.002]</w:t>
            </w:r>
          </w:p>
        </w:tc>
        <w:tc>
          <w:tcPr>
            <w:tcW w:w="991" w:type="pct"/>
            <w:tcBorders>
              <w:top w:val="nil"/>
              <w:bottom w:val="nil"/>
            </w:tcBorders>
            <w:shd w:val="clear" w:color="auto" w:fill="auto"/>
            <w:vAlign w:val="center"/>
          </w:tcPr>
          <w:p w14:paraId="4C83A71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51.54</w:t>
            </w:r>
          </w:p>
        </w:tc>
        <w:tc>
          <w:tcPr>
            <w:tcW w:w="806" w:type="pct"/>
            <w:tcBorders>
              <w:top w:val="nil"/>
              <w:bottom w:val="nil"/>
            </w:tcBorders>
            <w:shd w:val="clear" w:color="auto" w:fill="auto"/>
            <w:vAlign w:val="center"/>
          </w:tcPr>
          <w:p w14:paraId="3185042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14:ligatures w14:val="none"/>
              </w:rPr>
              <w:t>−0.15</w:t>
            </w:r>
          </w:p>
        </w:tc>
        <w:tc>
          <w:tcPr>
            <w:tcW w:w="806" w:type="pct"/>
            <w:tcBorders>
              <w:top w:val="nil"/>
              <w:bottom w:val="nil"/>
            </w:tcBorders>
            <w:shd w:val="clear" w:color="auto" w:fill="auto"/>
            <w:vAlign w:val="center"/>
          </w:tcPr>
          <w:p w14:paraId="0418C68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[−0.22, −0.07]</w:t>
            </w:r>
          </w:p>
        </w:tc>
      </w:tr>
      <w:tr w14:paraId="6FC01E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nil"/>
            </w:tcBorders>
            <w:shd w:val="clear" w:color="auto" w:fill="auto"/>
            <w:vAlign w:val="center"/>
          </w:tcPr>
          <w:p w14:paraId="73A66A8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i/>
                <w:iCs/>
                <w:sz w:val="18"/>
                <w:szCs w:val="18"/>
                <w14:ligatures w14:val="none"/>
              </w:rPr>
              <w:t>δ</w:t>
            </w:r>
          </w:p>
        </w:tc>
        <w:tc>
          <w:tcPr>
            <w:tcW w:w="806" w:type="pct"/>
            <w:tcBorders>
              <w:top w:val="nil"/>
              <w:bottom w:val="nil"/>
            </w:tcBorders>
            <w:shd w:val="clear" w:color="auto" w:fill="auto"/>
            <w:vAlign w:val="center"/>
          </w:tcPr>
          <w:p w14:paraId="13E8964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30" w:type="pct"/>
            <w:tcBorders>
              <w:top w:val="nil"/>
              <w:bottom w:val="nil"/>
            </w:tcBorders>
            <w:shd w:val="clear" w:color="auto" w:fill="auto"/>
            <w:vAlign w:val="center"/>
          </w:tcPr>
          <w:p w14:paraId="25D6A89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991" w:type="pct"/>
            <w:tcBorders>
              <w:top w:val="nil"/>
              <w:bottom w:val="nil"/>
            </w:tcBorders>
            <w:shd w:val="clear" w:color="auto" w:fill="auto"/>
            <w:vAlign w:val="center"/>
          </w:tcPr>
          <w:p w14:paraId="28E48B9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kern w:val="2"/>
                <w:sz w:val="18"/>
                <w:szCs w:val="18"/>
                <w:lang w:val="en-US" w:eastAsia="zh-CN" w:bidi="ar-SA"/>
                <w14:ligatures w14:val="none"/>
              </w:rPr>
              <w:t>22.44</w:t>
            </w:r>
          </w:p>
        </w:tc>
        <w:tc>
          <w:tcPr>
            <w:tcW w:w="806" w:type="pct"/>
            <w:tcBorders>
              <w:top w:val="nil"/>
              <w:bottom w:val="nil"/>
            </w:tcBorders>
            <w:shd w:val="clear" w:color="auto" w:fill="auto"/>
            <w:vAlign w:val="center"/>
          </w:tcPr>
          <w:p w14:paraId="61286B5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c>
          <w:tcPr>
            <w:tcW w:w="806" w:type="pct"/>
            <w:tcBorders>
              <w:top w:val="nil"/>
              <w:bottom w:val="nil"/>
            </w:tcBorders>
            <w:shd w:val="clear" w:color="auto" w:fill="auto"/>
            <w:vAlign w:val="center"/>
          </w:tcPr>
          <w:p w14:paraId="0F810D3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0</w:t>
            </w:r>
          </w:p>
        </w:tc>
      </w:tr>
      <w:tr w14:paraId="42EFBD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758" w:type="pct"/>
            <w:tcBorders>
              <w:top w:val="nil"/>
              <w:bottom w:val="single" w:color="auto" w:sz="12" w:space="0"/>
            </w:tcBorders>
            <w:shd w:val="clear" w:color="auto" w:fill="auto"/>
            <w:vAlign w:val="center"/>
          </w:tcPr>
          <w:p w14:paraId="5E325DE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Rating</w:t>
            </w:r>
          </w:p>
        </w:tc>
        <w:tc>
          <w:tcPr>
            <w:tcW w:w="806" w:type="pct"/>
            <w:tcBorders>
              <w:top w:val="nil"/>
              <w:bottom w:val="single" w:color="auto" w:sz="12" w:space="0"/>
            </w:tcBorders>
            <w:shd w:val="clear" w:color="auto" w:fill="auto"/>
            <w:vAlign w:val="center"/>
          </w:tcPr>
          <w:p w14:paraId="6E070B2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30" w:type="pct"/>
            <w:tcBorders>
              <w:top w:val="nil"/>
              <w:bottom w:val="single" w:color="auto" w:sz="12" w:space="0"/>
            </w:tcBorders>
            <w:shd w:val="clear" w:color="auto" w:fill="auto"/>
            <w:vAlign w:val="center"/>
          </w:tcPr>
          <w:p w14:paraId="77902F4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991" w:type="pct"/>
            <w:tcBorders>
              <w:top w:val="nil"/>
              <w:bottom w:val="single" w:color="auto" w:sz="12" w:space="0"/>
            </w:tcBorders>
            <w:shd w:val="clear" w:color="auto" w:fill="auto"/>
            <w:vAlign w:val="center"/>
          </w:tcPr>
          <w:p w14:paraId="73DDED8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eastAsia" w:ascii="Times New Roman" w:hAnsi="Times New Roman" w:eastAsia="宋体" w:cs="Times New Roman"/>
                <w:sz w:val="18"/>
                <w:szCs w:val="18"/>
                <w:lang w:val="en-US" w:eastAsia="zh-CN"/>
                <w14:ligatures w14:val="none"/>
              </w:rPr>
              <w:t>Consistent evidence</w:t>
            </w:r>
          </w:p>
        </w:tc>
        <w:tc>
          <w:tcPr>
            <w:tcW w:w="806" w:type="pct"/>
            <w:tcBorders>
              <w:top w:val="nil"/>
              <w:bottom w:val="single" w:color="auto" w:sz="12" w:space="0"/>
            </w:tcBorders>
            <w:shd w:val="clear" w:color="auto" w:fill="auto"/>
            <w:vAlign w:val="center"/>
          </w:tcPr>
          <w:p w14:paraId="71D8704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c>
          <w:tcPr>
            <w:tcW w:w="806" w:type="pct"/>
            <w:tcBorders>
              <w:top w:val="nil"/>
              <w:bottom w:val="single" w:color="auto" w:sz="12" w:space="0"/>
            </w:tcBorders>
            <w:shd w:val="clear" w:color="auto" w:fill="auto"/>
            <w:vAlign w:val="center"/>
          </w:tcPr>
          <w:p w14:paraId="281C32C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kern w:val="2"/>
                <w:sz w:val="18"/>
                <w:szCs w:val="18"/>
                <w:lang w:val="en-US" w:eastAsia="zh-CN" w:bidi="ar-SA"/>
                <w14:ligatures w14:val="none"/>
              </w:rPr>
            </w:pPr>
            <w:r>
              <w:rPr>
                <w:rFonts w:hint="default" w:ascii="Times New Roman" w:hAnsi="Times New Roman" w:eastAsia="宋体" w:cs="Times New Roman"/>
                <w:sz w:val="18"/>
                <w:szCs w:val="18"/>
                <w:lang w:val="en-US" w:eastAsia="zh-CN"/>
                <w14:ligatures w14:val="none"/>
              </w:rPr>
              <w:t>Fully replicated</w:t>
            </w:r>
          </w:p>
        </w:tc>
      </w:tr>
    </w:tbl>
    <w:p w14:paraId="5932F77F">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宋体" w:cs="Times New Roman"/>
          <w:b/>
          <w:bCs/>
          <w:sz w:val="22"/>
          <w14:ligatures w14:val="none"/>
        </w:rPr>
      </w:pPr>
    </w:p>
    <w:p w14:paraId="35DC804F">
      <w:pPr>
        <w:pStyle w:val="3"/>
        <w:bidi w:val="0"/>
        <w:rPr>
          <w:rFonts w:hint="eastAsia"/>
          <w:lang w:eastAsia="zh-CN"/>
        </w:rPr>
      </w:pPr>
      <w:r>
        <w:rPr>
          <w:rFonts w:hint="eastAsia"/>
        </w:rPr>
        <w:t>3.</w:t>
      </w:r>
      <w:r>
        <w:t>3</w:t>
      </w:r>
      <w:r>
        <w:rPr>
          <w:rFonts w:hint="eastAsia"/>
        </w:rPr>
        <w:t xml:space="preserve"> 模型诊断与可复现性</w:t>
      </w:r>
      <w:r>
        <w:rPr>
          <w:rFonts w:hint="eastAsia"/>
          <w:lang w:val="en-US" w:eastAsia="zh-CN"/>
        </w:rPr>
        <w:t>评估</w:t>
      </w:r>
    </w:p>
    <w:p w14:paraId="0FF4765C">
      <w:pPr>
        <w:keepNext w:val="0"/>
        <w:keepLines w:val="0"/>
        <w:pageBreakBefore w:val="0"/>
        <w:widowControl w:val="0"/>
        <w:kinsoku/>
        <w:wordWrap/>
        <w:overflowPunct/>
        <w:topLinePunct w:val="0"/>
        <w:autoSpaceDE/>
        <w:autoSpaceDN/>
        <w:bidi w:val="0"/>
        <w:adjustRightInd/>
        <w:snapToGrid/>
        <w:spacing w:line="360" w:lineRule="auto"/>
        <w:ind w:firstLine="420" w:firstLineChars="200"/>
        <w:jc w:val="left"/>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为进一步评估复现结果的可靠性，本研究对</w:t>
      </w:r>
      <w:r>
        <w:rPr>
          <w:rFonts w:hint="eastAsia" w:ascii="Times New Roman" w:hAnsi="Times New Roman" w:eastAsia="宋体" w:cs="Times New Roman"/>
          <w:szCs w:val="24"/>
          <w:lang w:val="en-US" w:eastAsia="zh-CN"/>
          <w14:ligatures w14:val="none"/>
        </w:rPr>
        <w:t>第一次</w:t>
      </w:r>
      <w:r>
        <w:rPr>
          <w:rFonts w:hint="eastAsia" w:ascii="Times New Roman" w:hAnsi="Times New Roman" w:eastAsia="宋体" w:cs="Times New Roman"/>
          <w:szCs w:val="24"/>
          <w14:ligatures w14:val="none"/>
        </w:rPr>
        <w:t>重复分析所得统计结果与原研究报告结果进行了逐项比较。结果显示，共比较25个统计指标，其中22个指标（88%）与原文完全一致，3个指标（12%）存在轻微偏差，未发现偏差较大的结果。</w:t>
      </w:r>
    </w:p>
    <w:p w14:paraId="6348959C">
      <w:pPr>
        <w:keepNext w:val="0"/>
        <w:keepLines w:val="0"/>
        <w:pageBreakBefore w:val="0"/>
        <w:widowControl w:val="0"/>
        <w:kinsoku/>
        <w:wordWrap/>
        <w:overflowPunct/>
        <w:topLinePunct w:val="0"/>
        <w:autoSpaceDE/>
        <w:autoSpaceDN/>
        <w:bidi w:val="0"/>
        <w:adjustRightInd/>
        <w:snapToGrid/>
        <w:spacing w:line="360" w:lineRule="auto"/>
        <w:ind w:firstLine="420" w:firstLineChars="200"/>
        <w:jc w:val="left"/>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进一步对统计推论的一致性进行评估发现，所有研究的统计结论均与原研究保持一致，即不存在由于参数估计差异而导致的理论推断改变的情况。因此，推论一致率达到100%。</w:t>
      </w:r>
    </w:p>
    <w:p w14:paraId="70AC73E1">
      <w:pPr>
        <w:keepNext w:val="0"/>
        <w:keepLines w:val="0"/>
        <w:pageBreakBefore w:val="0"/>
        <w:widowControl w:val="0"/>
        <w:kinsoku/>
        <w:wordWrap/>
        <w:overflowPunct/>
        <w:topLinePunct w:val="0"/>
        <w:autoSpaceDE/>
        <w:autoSpaceDN/>
        <w:bidi w:val="0"/>
        <w:adjustRightInd/>
        <w:snapToGrid/>
        <w:spacing w:line="360" w:lineRule="auto"/>
        <w:ind w:firstLine="420" w:firstLineChars="200"/>
        <w:jc w:val="left"/>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此外，在模型运行过程中虽然出现少量采样警告（如 divergence 或 tree depth warning），但主要参数均表现出良好的收敛性，且复现所得参数估计、效应方向及理论解释均与原研究高度一致，说明这些采样问题未对核心研究结论造成实质性影响。</w:t>
      </w:r>
    </w:p>
    <w:p w14:paraId="1A7F0ECA">
      <w:pPr>
        <w:keepNext w:val="0"/>
        <w:keepLines w:val="0"/>
        <w:pageBreakBefore w:val="0"/>
        <w:widowControl w:val="0"/>
        <w:kinsoku/>
        <w:wordWrap/>
        <w:overflowPunct/>
        <w:topLinePunct w:val="0"/>
        <w:autoSpaceDE/>
        <w:autoSpaceDN/>
        <w:bidi w:val="0"/>
        <w:adjustRightInd/>
        <w:snapToGrid/>
        <w:spacing w:line="360" w:lineRule="auto"/>
        <w:ind w:firstLine="420" w:firstLineChars="200"/>
        <w:jc w:val="left"/>
        <w:textAlignment w:val="auto"/>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综合来看，本研究成功复现了 Lin 等人（2020）关于认知努力降低决策边界的主要发现，表明该研究具有较高的计算可复现性。</w:t>
      </w:r>
    </w:p>
    <w:p w14:paraId="35DC8052">
      <w:pPr>
        <w:spacing w:line="300" w:lineRule="auto"/>
        <w:jc w:val="center"/>
        <w:rPr>
          <w:rFonts w:ascii="Times New Roman" w:hAnsi="Times New Roman" w:eastAsia="宋体" w:cs="Times New Roman"/>
          <w:b/>
          <w:bCs/>
          <w:sz w:val="18"/>
          <w:szCs w:val="18"/>
          <w14:ligatures w14:val="none"/>
        </w:rPr>
      </w:pPr>
      <w:r>
        <w:rPr>
          <w:rFonts w:ascii="Times New Roman" w:hAnsi="Times New Roman" w:eastAsia="宋体" w:cs="Times New Roman"/>
          <w:b/>
          <w:bCs/>
          <w:sz w:val="18"/>
          <w:szCs w:val="18"/>
          <w14:ligatures w14:val="none"/>
        </w:rPr>
        <w:t xml:space="preserve">表 </w:t>
      </w:r>
      <w:r>
        <w:rPr>
          <w:rFonts w:hint="eastAsia" w:ascii="Times New Roman" w:hAnsi="Times New Roman" w:eastAsia="宋体" w:cs="Times New Roman"/>
          <w:b/>
          <w:bCs/>
          <w:sz w:val="18"/>
          <w:szCs w:val="18"/>
          <w:lang w:val="en-US" w:eastAsia="zh-CN"/>
          <w14:ligatures w14:val="none"/>
        </w:rPr>
        <w:t>4</w:t>
      </w:r>
      <w:r>
        <w:rPr>
          <w:rFonts w:ascii="Times New Roman" w:hAnsi="Times New Roman" w:eastAsia="宋体" w:cs="Times New Roman"/>
          <w:b/>
          <w:bCs/>
          <w:sz w:val="18"/>
          <w:szCs w:val="18"/>
          <w14:ligatures w14:val="none"/>
        </w:rPr>
        <w:t xml:space="preserve"> </w:t>
      </w:r>
      <w:r>
        <w:rPr>
          <w:rFonts w:hint="eastAsia" w:ascii="Times New Roman" w:hAnsi="Times New Roman" w:eastAsia="宋体" w:cs="Times New Roman"/>
          <w:b/>
          <w:bCs/>
          <w:sz w:val="18"/>
          <w:szCs w:val="18"/>
          <w14:ligatures w14:val="none"/>
        </w:rPr>
        <w:t xml:space="preserve"> 结果可复现性的评估表</w:t>
      </w:r>
    </w:p>
    <w:tbl>
      <w:tblPr>
        <w:tblStyle w:val="7"/>
        <w:tblW w:w="852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58"/>
        <w:gridCol w:w="1244"/>
        <w:gridCol w:w="1718"/>
      </w:tblGrid>
      <w:tr w14:paraId="35DC80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0" w:type="auto"/>
            <w:vMerge w:val="restart"/>
            <w:tcBorders>
              <w:top w:val="single" w:color="auto" w:sz="12" w:space="0"/>
            </w:tcBorders>
            <w:vAlign w:val="center"/>
          </w:tcPr>
          <w:p w14:paraId="35DC805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可复现性情况</w:t>
            </w:r>
          </w:p>
        </w:tc>
        <w:tc>
          <w:tcPr>
            <w:tcW w:w="2962" w:type="dxa"/>
            <w:gridSpan w:val="2"/>
            <w:tcBorders>
              <w:top w:val="single" w:color="auto" w:sz="12" w:space="0"/>
            </w:tcBorders>
          </w:tcPr>
          <w:p w14:paraId="35DC805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数量及占比</w:t>
            </w:r>
          </w:p>
        </w:tc>
      </w:tr>
      <w:tr w14:paraId="35DC805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0" w:type="auto"/>
            <w:vMerge w:val="continue"/>
            <w:tcBorders>
              <w:bottom w:val="single" w:color="auto" w:sz="4" w:space="0"/>
            </w:tcBorders>
          </w:tcPr>
          <w:p w14:paraId="35DC805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textAlignment w:val="auto"/>
              <w:rPr>
                <w:rFonts w:ascii="Times New Roman" w:hAnsi="Times New Roman" w:eastAsia="宋体" w:cs="Times New Roman"/>
                <w:sz w:val="18"/>
                <w:szCs w:val="18"/>
                <w14:ligatures w14:val="none"/>
              </w:rPr>
            </w:pPr>
          </w:p>
        </w:tc>
        <w:tc>
          <w:tcPr>
            <w:tcW w:w="0" w:type="auto"/>
            <w:tcBorders>
              <w:bottom w:val="single" w:color="auto" w:sz="4" w:space="0"/>
            </w:tcBorders>
          </w:tcPr>
          <w:p w14:paraId="35DC805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i/>
                <w:iCs/>
                <w:sz w:val="18"/>
                <w:szCs w:val="18"/>
                <w:lang w:val="en-US" w:eastAsia="zh-CN"/>
                <w14:ligatures w14:val="none"/>
              </w:rPr>
            </w:pPr>
            <w:r>
              <w:rPr>
                <w:rFonts w:hint="eastAsia" w:ascii="Times New Roman" w:hAnsi="Times New Roman" w:eastAsia="宋体" w:cs="Times New Roman"/>
                <w:i/>
                <w:iCs/>
                <w:sz w:val="18"/>
                <w:szCs w:val="18"/>
                <w14:ligatures w14:val="none"/>
              </w:rPr>
              <w:t>N</w:t>
            </w:r>
            <w:r>
              <w:rPr>
                <w:rFonts w:hint="eastAsia" w:ascii="Times New Roman" w:hAnsi="Times New Roman" w:eastAsia="宋体" w:cs="Times New Roman"/>
                <w:i/>
                <w:iCs/>
                <w:sz w:val="18"/>
                <w:szCs w:val="18"/>
                <w:lang w:val="en-US" w:eastAsia="zh-CN"/>
                <w14:ligatures w14:val="none"/>
              </w:rPr>
              <w:t>*</w:t>
            </w:r>
          </w:p>
        </w:tc>
        <w:tc>
          <w:tcPr>
            <w:tcW w:w="1718" w:type="dxa"/>
            <w:tcBorders>
              <w:bottom w:val="single" w:color="auto" w:sz="4" w:space="0"/>
            </w:tcBorders>
          </w:tcPr>
          <w:p w14:paraId="35DC805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i/>
                <w:iCs/>
                <w:sz w:val="18"/>
                <w:szCs w:val="18"/>
                <w14:ligatures w14:val="none"/>
              </w:rPr>
            </w:pPr>
            <w:r>
              <w:rPr>
                <w:rFonts w:hint="eastAsia" w:ascii="Times New Roman" w:hAnsi="Times New Roman" w:eastAsia="宋体" w:cs="Times New Roman"/>
                <w:i/>
                <w:iCs/>
                <w:sz w:val="18"/>
                <w:szCs w:val="18"/>
                <w14:ligatures w14:val="none"/>
              </w:rPr>
              <w:t>%</w:t>
            </w:r>
          </w:p>
        </w:tc>
      </w:tr>
      <w:tr w14:paraId="35DC805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0" w:type="auto"/>
            <w:tcBorders>
              <w:top w:val="single" w:color="auto" w:sz="4" w:space="0"/>
              <w:bottom w:val="nil"/>
            </w:tcBorders>
            <w:vAlign w:val="center"/>
          </w:tcPr>
          <w:p w14:paraId="35DC805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完全一致</w:t>
            </w:r>
            <w:r>
              <w:rPr>
                <w:rFonts w:ascii="Times New Roman" w:hAnsi="Times New Roman" w:eastAsia="宋体" w:cs="Times New Roman"/>
                <w:sz w:val="18"/>
                <w:szCs w:val="18"/>
                <w14:ligatures w14:val="none"/>
              </w:rPr>
              <w:t>(</w:t>
            </w:r>
            <w:r>
              <w:rPr>
                <w:rFonts w:ascii="Times New Roman" w:hAnsi="Times New Roman" w:eastAsia="宋体" w:cs="Times New Roman"/>
                <w:i/>
                <w:iCs/>
                <w:sz w:val="18"/>
                <w:szCs w:val="18"/>
                <w14:ligatures w14:val="none"/>
              </w:rPr>
              <w:t>δ</w:t>
            </w:r>
            <w:r>
              <w:rPr>
                <w:rFonts w:ascii="Times New Roman" w:hAnsi="Times New Roman" w:eastAsia="宋体" w:cs="Times New Roman"/>
                <w:sz w:val="18"/>
                <w:szCs w:val="18"/>
                <w14:ligatures w14:val="none"/>
              </w:rPr>
              <w:t xml:space="preserve"> = 0%)</w:t>
            </w:r>
          </w:p>
        </w:tc>
        <w:tc>
          <w:tcPr>
            <w:tcW w:w="0" w:type="auto"/>
            <w:tcBorders>
              <w:top w:val="single" w:color="auto" w:sz="4" w:space="0"/>
              <w:bottom w:val="nil"/>
            </w:tcBorders>
            <w:vAlign w:val="center"/>
          </w:tcPr>
          <w:p w14:paraId="35DC80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22</w:t>
            </w:r>
          </w:p>
        </w:tc>
        <w:tc>
          <w:tcPr>
            <w:tcW w:w="1718" w:type="dxa"/>
            <w:tcBorders>
              <w:top w:val="single" w:color="auto" w:sz="4" w:space="0"/>
              <w:bottom w:val="nil"/>
            </w:tcBorders>
            <w:vAlign w:val="center"/>
          </w:tcPr>
          <w:p w14:paraId="35DC805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88%</w:t>
            </w:r>
          </w:p>
        </w:tc>
      </w:tr>
      <w:tr w14:paraId="35DC80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0" w:type="auto"/>
            <w:tcBorders>
              <w:top w:val="nil"/>
              <w:bottom w:val="nil"/>
            </w:tcBorders>
            <w:vAlign w:val="center"/>
          </w:tcPr>
          <w:p w14:paraId="35DC805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偏差较小</w:t>
            </w:r>
            <w:r>
              <w:rPr>
                <w:rFonts w:ascii="Times New Roman" w:hAnsi="Times New Roman" w:eastAsia="宋体" w:cs="Times New Roman"/>
                <w:sz w:val="18"/>
                <w:szCs w:val="18"/>
                <w14:ligatures w14:val="none"/>
              </w:rPr>
              <w:t xml:space="preserve">(0% &lt; </w:t>
            </w:r>
            <w:r>
              <w:rPr>
                <w:rFonts w:ascii="Times New Roman" w:hAnsi="Times New Roman" w:eastAsia="宋体" w:cs="Times New Roman"/>
                <w:i/>
                <w:iCs/>
                <w:sz w:val="18"/>
                <w:szCs w:val="18"/>
                <w14:ligatures w14:val="none"/>
              </w:rPr>
              <w:t>δ</w:t>
            </w:r>
            <w:r>
              <w:rPr>
                <w:rFonts w:ascii="Times New Roman" w:hAnsi="Times New Roman" w:eastAsia="宋体" w:cs="Times New Roman"/>
                <w:sz w:val="18"/>
                <w:szCs w:val="18"/>
                <w14:ligatures w14:val="none"/>
              </w:rPr>
              <w:t xml:space="preserve"> &lt; 10%)</w:t>
            </w:r>
          </w:p>
        </w:tc>
        <w:tc>
          <w:tcPr>
            <w:tcW w:w="0" w:type="auto"/>
            <w:tcBorders>
              <w:top w:val="nil"/>
              <w:bottom w:val="nil"/>
            </w:tcBorders>
            <w:vAlign w:val="center"/>
          </w:tcPr>
          <w:p w14:paraId="35DC805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3</w:t>
            </w:r>
          </w:p>
        </w:tc>
        <w:tc>
          <w:tcPr>
            <w:tcW w:w="1718" w:type="dxa"/>
            <w:tcBorders>
              <w:top w:val="nil"/>
              <w:bottom w:val="nil"/>
            </w:tcBorders>
            <w:vAlign w:val="center"/>
          </w:tcPr>
          <w:p w14:paraId="35DC806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12%</w:t>
            </w:r>
          </w:p>
        </w:tc>
      </w:tr>
      <w:tr w14:paraId="35DC80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0" w:type="auto"/>
            <w:tcBorders>
              <w:top w:val="nil"/>
              <w:bottom w:val="nil"/>
            </w:tcBorders>
            <w:vAlign w:val="center"/>
          </w:tcPr>
          <w:p w14:paraId="35DC806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i/>
                <w:iCs/>
                <w:sz w:val="18"/>
                <w:szCs w:val="18"/>
                <w14:ligatures w14:val="none"/>
              </w:rPr>
            </w:pPr>
            <w:r>
              <w:rPr>
                <w:rFonts w:hint="eastAsia" w:ascii="Times New Roman" w:hAnsi="Times New Roman" w:eastAsia="宋体" w:cs="Times New Roman"/>
                <w:sz w:val="18"/>
                <w:szCs w:val="18"/>
                <w14:ligatures w14:val="none"/>
              </w:rPr>
              <w:t>偏差较</w:t>
            </w:r>
            <w:r>
              <w:rPr>
                <w:rFonts w:hint="eastAsia" w:ascii="Times New Roman" w:hAnsi="Times New Roman" w:eastAsia="宋体" w:cs="Times New Roman"/>
                <w:sz w:val="18"/>
                <w:szCs w:val="18"/>
                <w:lang w:val="en-US" w:eastAsia="zh-CN"/>
                <w14:ligatures w14:val="none"/>
              </w:rPr>
              <w:t>大</w:t>
            </w:r>
            <w:r>
              <w:rPr>
                <w:rFonts w:ascii="Times New Roman" w:hAnsi="Times New Roman" w:eastAsia="宋体" w:cs="Times New Roman"/>
                <w:sz w:val="18"/>
                <w:szCs w:val="18"/>
                <w14:ligatures w14:val="none"/>
              </w:rPr>
              <w:t>(</w:t>
            </w:r>
            <w:r>
              <w:rPr>
                <w:rFonts w:ascii="Times New Roman" w:hAnsi="Times New Roman" w:eastAsia="宋体" w:cs="Times New Roman"/>
                <w:i/>
                <w:iCs/>
                <w:sz w:val="18"/>
                <w:szCs w:val="18"/>
                <w14:ligatures w14:val="none"/>
              </w:rPr>
              <w:t>δ</w:t>
            </w:r>
            <w:r>
              <w:rPr>
                <w:rFonts w:ascii="Times New Roman" w:hAnsi="Times New Roman" w:eastAsia="宋体" w:cs="Times New Roman"/>
                <w:sz w:val="18"/>
                <w:szCs w:val="18"/>
                <w14:ligatures w14:val="none"/>
              </w:rPr>
              <w:t xml:space="preserve"> </w:t>
            </w: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14:ligatures w14:val="none"/>
              </w:rPr>
              <w:t xml:space="preserve"> 10%</w:t>
            </w:r>
            <w:r>
              <w:rPr>
                <w:rFonts w:hint="eastAsia" w:ascii="Times New Roman" w:hAnsi="Times New Roman" w:eastAsia="宋体" w:cs="Times New Roman"/>
                <w:sz w:val="18"/>
                <w:szCs w:val="18"/>
                <w14:ligatures w14:val="none"/>
              </w:rPr>
              <w:t>)</w:t>
            </w:r>
          </w:p>
        </w:tc>
        <w:tc>
          <w:tcPr>
            <w:tcW w:w="0" w:type="auto"/>
            <w:tcBorders>
              <w:top w:val="nil"/>
              <w:bottom w:val="nil"/>
            </w:tcBorders>
            <w:vAlign w:val="center"/>
          </w:tcPr>
          <w:p w14:paraId="35DC806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1718" w:type="dxa"/>
            <w:tcBorders>
              <w:top w:val="nil"/>
              <w:bottom w:val="nil"/>
            </w:tcBorders>
            <w:vAlign w:val="center"/>
          </w:tcPr>
          <w:p w14:paraId="35DC806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r w14:paraId="35DC80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5558" w:type="dxa"/>
            <w:tcBorders>
              <w:top w:val="nil"/>
              <w:bottom w:val="single" w:color="auto" w:sz="12" w:space="0"/>
            </w:tcBorders>
            <w:vAlign w:val="center"/>
          </w:tcPr>
          <w:p w14:paraId="35DC806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因舍入导致的偏差</w:t>
            </w:r>
          </w:p>
        </w:tc>
        <w:tc>
          <w:tcPr>
            <w:tcW w:w="1244" w:type="dxa"/>
            <w:tcBorders>
              <w:top w:val="nil"/>
              <w:bottom w:val="single" w:color="auto" w:sz="12" w:space="0"/>
            </w:tcBorders>
            <w:vAlign w:val="center"/>
          </w:tcPr>
          <w:p w14:paraId="35DC806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c>
          <w:tcPr>
            <w:tcW w:w="1718" w:type="dxa"/>
            <w:tcBorders>
              <w:top w:val="nil"/>
              <w:bottom w:val="single" w:color="auto" w:sz="12" w:space="0"/>
            </w:tcBorders>
            <w:vAlign w:val="center"/>
          </w:tcPr>
          <w:p w14:paraId="35DC806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imes New Roman" w:hAnsi="Times New Roman" w:eastAsia="宋体" w:cs="Times New Roman"/>
                <w:sz w:val="18"/>
                <w:szCs w:val="18"/>
                <w:lang w:val="en-US" w:eastAsia="zh-CN"/>
                <w14:ligatures w14:val="none"/>
              </w:rPr>
            </w:pPr>
            <w:r>
              <w:rPr>
                <w:rFonts w:hint="eastAsia" w:ascii="Times New Roman" w:hAnsi="Times New Roman" w:eastAsia="宋体" w:cs="Times New Roman"/>
                <w:sz w:val="18"/>
                <w:szCs w:val="18"/>
                <w:lang w:val="en-US" w:eastAsia="zh-CN"/>
                <w14:ligatures w14:val="none"/>
              </w:rPr>
              <w:t>0</w:t>
            </w:r>
          </w:p>
        </w:tc>
      </w:tr>
    </w:tbl>
    <w:p w14:paraId="7672044F">
      <w:pPr>
        <w:spacing w:line="300" w:lineRule="auto"/>
        <w:ind w:firstLine="360"/>
        <w:rPr>
          <w:rFonts w:hint="eastAsia" w:ascii="Times New Roman" w:hAnsi="Times New Roman" w:eastAsia="宋体" w:cs="Times New Roman"/>
          <w:sz w:val="18"/>
          <w:szCs w:val="18"/>
          <w14:ligatures w14:val="none"/>
        </w:rPr>
      </w:pPr>
      <w:r>
        <w:rPr>
          <w:rFonts w:hint="eastAsia" w:ascii="Times New Roman" w:hAnsi="Times New Roman" w:eastAsia="宋体" w:cs="Times New Roman"/>
          <w:sz w:val="18"/>
          <w:szCs w:val="18"/>
          <w14:ligatures w14:val="none"/>
        </w:rPr>
        <w:t>*</w:t>
      </w:r>
      <w:r>
        <w:rPr>
          <w:rFonts w:ascii="Times New Roman" w:hAnsi="Times New Roman" w:eastAsia="宋体" w:cs="Times New Roman"/>
          <w:sz w:val="18"/>
          <w:szCs w:val="18"/>
          <w14:ligatures w14:val="none"/>
        </w:rPr>
        <w:t xml:space="preserve"> </w:t>
      </w:r>
      <w:r>
        <w:rPr>
          <w:rFonts w:hint="eastAsia" w:ascii="Times New Roman" w:hAnsi="Times New Roman" w:eastAsia="宋体" w:cs="Times New Roman"/>
          <w:sz w:val="18"/>
          <w:szCs w:val="18"/>
          <w14:ligatures w14:val="none"/>
        </w:rPr>
        <w:t>结果数量</w:t>
      </w:r>
      <w:r>
        <w:rPr>
          <w:rFonts w:ascii="Times New Roman" w:hAnsi="Times New Roman" w:eastAsia="宋体" w:cs="Times New Roman"/>
          <w:i/>
          <w:iCs/>
          <w:sz w:val="18"/>
          <w:szCs w:val="18"/>
          <w14:ligatures w14:val="none"/>
        </w:rPr>
        <w:t>N</w:t>
      </w:r>
      <w:r>
        <w:rPr>
          <w:rFonts w:hint="eastAsia" w:ascii="Times New Roman" w:hAnsi="Times New Roman" w:eastAsia="宋体" w:cs="Times New Roman"/>
          <w:sz w:val="18"/>
          <w:szCs w:val="18"/>
          <w14:ligatures w14:val="none"/>
        </w:rPr>
        <w:t>指在重复分析中，对重复分析结果与原结果进行配对比较的次数。对于每个目标效应，结果包括一组数值，如汇总效应估计(summary estimate，如</w:t>
      </w:r>
      <w:r>
        <w:rPr>
          <w:rFonts w:ascii="Times New Roman" w:hAnsi="Times New Roman" w:eastAsia="宋体" w:cs="Times New Roman"/>
          <w:i/>
          <w:iCs/>
          <w:sz w:val="18"/>
          <w:szCs w:val="18"/>
          <w14:ligatures w14:val="none"/>
        </w:rPr>
        <w:t>t</w:t>
      </w:r>
      <w:r>
        <w:rPr>
          <w:rFonts w:hint="eastAsia" w:ascii="Times New Roman" w:hAnsi="Times New Roman" w:eastAsia="宋体" w:cs="Times New Roman"/>
          <w:sz w:val="18"/>
          <w:szCs w:val="18"/>
          <w14:ligatures w14:val="none"/>
        </w:rPr>
        <w:t>值/ F值)、置信区间界限(confidence interval bound)、效应量(effect size)样本大小(size effect)等，应将原文中报告的每个数值与重复结果进行比较。例如，在一个</w:t>
      </w:r>
      <w:r>
        <w:rPr>
          <w:rFonts w:ascii="Times New Roman" w:hAnsi="Times New Roman" w:eastAsia="宋体" w:cs="Times New Roman"/>
          <w:i/>
          <w:iCs/>
          <w:sz w:val="18"/>
          <w:szCs w:val="18"/>
          <w14:ligatures w14:val="none"/>
        </w:rPr>
        <w:t>t</w:t>
      </w:r>
      <w:r>
        <w:rPr>
          <w:rFonts w:hint="eastAsia" w:ascii="Times New Roman" w:hAnsi="Times New Roman" w:eastAsia="宋体" w:cs="Times New Roman"/>
          <w:sz w:val="18"/>
          <w:szCs w:val="18"/>
          <w14:ligatures w14:val="none"/>
        </w:rPr>
        <w:t>检验中，原文献报告了</w:t>
      </w:r>
      <w:r>
        <w:rPr>
          <w:rFonts w:ascii="Times New Roman" w:hAnsi="Times New Roman" w:eastAsia="宋体" w:cs="Times New Roman"/>
          <w:i/>
          <w:iCs/>
          <w:sz w:val="18"/>
          <w:szCs w:val="18"/>
          <w14:ligatures w14:val="none"/>
        </w:rPr>
        <w:t>t</w:t>
      </w:r>
      <w:r>
        <w:rPr>
          <w:rFonts w:hint="eastAsia" w:ascii="Times New Roman" w:hAnsi="Times New Roman" w:eastAsia="宋体" w:cs="Times New Roman"/>
          <w:sz w:val="18"/>
          <w:szCs w:val="18"/>
          <w14:ligatures w14:val="none"/>
        </w:rPr>
        <w:t>值、95%置信区间、cohen</w:t>
      </w:r>
      <w:r>
        <w:rPr>
          <w:rFonts w:ascii="Times New Roman" w:hAnsi="Times New Roman" w:eastAsia="宋体" w:cs="Times New Roman"/>
          <w:sz w:val="18"/>
          <w:szCs w:val="18"/>
          <w14:ligatures w14:val="none"/>
        </w:rPr>
        <w:t>’</w:t>
      </w:r>
      <w:r>
        <w:rPr>
          <w:rFonts w:hint="eastAsia" w:ascii="Times New Roman" w:hAnsi="Times New Roman" w:eastAsia="宋体" w:cs="Times New Roman"/>
          <w:sz w:val="18"/>
          <w:szCs w:val="18"/>
          <w14:ligatures w14:val="none"/>
        </w:rPr>
        <w:t>s d和样本大小，则这个效应中</w:t>
      </w:r>
      <w:r>
        <w:rPr>
          <w:rFonts w:ascii="Times New Roman" w:hAnsi="Times New Roman" w:eastAsia="宋体" w:cs="Times New Roman"/>
          <w:i/>
          <w:iCs/>
          <w:sz w:val="18"/>
          <w:szCs w:val="18"/>
          <w14:ligatures w14:val="none"/>
        </w:rPr>
        <w:t>N</w:t>
      </w:r>
      <w:r>
        <w:rPr>
          <w:rFonts w:hint="eastAsia" w:ascii="Times New Roman" w:hAnsi="Times New Roman" w:eastAsia="宋体" w:cs="Times New Roman"/>
          <w:sz w:val="18"/>
          <w:szCs w:val="18"/>
          <w14:ligatures w14:val="none"/>
        </w:rPr>
        <w:t>＝4。将各效应的</w:t>
      </w:r>
      <w:r>
        <w:rPr>
          <w:rFonts w:ascii="Times New Roman" w:hAnsi="Times New Roman" w:eastAsia="宋体" w:cs="Times New Roman"/>
          <w:i/>
          <w:iCs/>
          <w:sz w:val="18"/>
          <w:szCs w:val="18"/>
          <w14:ligatures w14:val="none"/>
        </w:rPr>
        <w:t>N</w:t>
      </w:r>
      <w:r>
        <w:rPr>
          <w:rFonts w:hint="eastAsia" w:ascii="Times New Roman" w:hAnsi="Times New Roman" w:eastAsia="宋体" w:cs="Times New Roman"/>
          <w:sz w:val="18"/>
          <w:szCs w:val="18"/>
          <w14:ligatures w14:val="none"/>
        </w:rPr>
        <w:t>求和即为全体数量。</w:t>
      </w:r>
    </w:p>
    <w:p w14:paraId="35DC8092">
      <w:pPr>
        <w:pStyle w:val="2"/>
        <w:bidi w:val="0"/>
      </w:pPr>
      <w:r>
        <w:t xml:space="preserve">4  </w:t>
      </w:r>
      <w:r>
        <w:rPr>
          <w:rFonts w:hint="eastAsia"/>
        </w:rPr>
        <w:t>讨论</w:t>
      </w:r>
    </w:p>
    <w:p w14:paraId="35DC8093">
      <w:pPr>
        <w:pStyle w:val="3"/>
        <w:bidi w:val="0"/>
      </w:pPr>
      <w:r>
        <w:rPr>
          <w:rFonts w:hint="eastAsia"/>
        </w:rPr>
        <w:t>4.1 计算可复现性检验结果分析</w:t>
      </w:r>
    </w:p>
    <w:p w14:paraId="4ED9CB98">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本研究总体上成功复现了 Lin 等人（2020）的主要统计结果。在全部25个比较指标中，22个指标（88%）与原研究完全一致，其余3个指标（12%）仅存在较小偏差，且主要体现在贝叶斯因子（Bayes Factor）的数值上。由于参数估计、95% HPD区间以及效应量均与原文完全一致，说明这些差异主要来源于统计计算过程中的技术因素，而非数据处理或模型设定的根本差异。</w:t>
      </w:r>
    </w:p>
    <w:p w14:paraId="36D22011">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首先，本研究与原研究之间的主要差异体现在综合模型的贝叶斯因子估计上。10次独立的桥采样均得到高于原研究报告值的 BF，说明该差异并非单纯由一次随机采样误差导致。由于贝叶斯因子基于模型边际似然计算，其不仅依赖于后验参数估计，还受到先验分布、后验样本质量以及数值积分过程等因素的影响。因此，即使不同分析得到几乎完全一致的参数估计，BF 值仍可能出现一定程度的系统性差异。</w:t>
      </w:r>
    </w:p>
    <w:p w14:paraId="3E40186B">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从统计推断角度来看，原研究报告的 BF = 29.10 与本研究重复所得 BF 值均提供了支持实验条件效应存在的较强证据，因此该差异并未导致模型选择或理论解释的改变。这也提示，在评价贝叶斯模型的计算可复现性时，应同时关注参数估计和模型比较指标，而不宜仅依据 BF 数值是否完全一致进行判断。</w:t>
      </w:r>
    </w:p>
    <w:p w14:paraId="50F60280">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从开放科学实践的角度来看，原研究公开了数据、分析代码和预注册信息，为本研究的成功复现提供了重要条件。开放的数据和代码使研究过程具有较高的透明度，使研究者能够较为准确地重现原始统计分析流程，这也是本研究大部分指标能够达到完全一致的重要原因。</w:t>
      </w:r>
    </w:p>
    <w:p w14:paraId="3F969351">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然而，原研究的开放材料仍存在一定局限。本研究使用作者公开的扩散模型参数数据（ddm.csv）进行贝叶斯多层模型分析，但原研究并未提供从 Stroop 原始行为数据到 EZ-diffusion 模型参数估计的完整计算流程。因此，本研究仅能够复现 DDM 参数生成之后的统计分析过程，而无法验证参数估计阶段是否具有完全的计算可复现性。这意味着当前复现结果主要证明了原研究统计分析阶段具有较高的可复现性，而不能完全代表整个研究流程的完全可复现。</w:t>
      </w:r>
    </w:p>
    <w:p w14:paraId="0BE8C98A">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此外，本研究在重复过程中尽可能保持与原研究一致，包括使用相同的数据集、变量编码方式、模型结构以及统计方法，因此重复者操作差异对结果的影响相对较小。模型运行过程中虽然出现少量采样警告（如 divergence 或 tree depth warning），但主要参数具有良好的收敛表现，且最终效应估计和理论推断均与原研究一致，因此这些计算问题并未对核心结论造成实质影响。</w:t>
      </w:r>
    </w:p>
    <w:p w14:paraId="00129E81">
      <w:pPr>
        <w:spacing w:line="360" w:lineRule="auto"/>
        <w:ind w:firstLine="420" w:firstLineChars="200"/>
        <w:rPr>
          <w:rFonts w:hint="eastAsia" w:ascii="Times New Roman" w:hAnsi="Times New Roman" w:eastAsia="宋体" w:cs="Times New Roman"/>
          <w:szCs w:val="24"/>
          <w14:ligatures w14:val="none"/>
        </w:rPr>
      </w:pPr>
      <w:r>
        <w:rPr>
          <w:rFonts w:hint="eastAsia" w:ascii="Times New Roman" w:hAnsi="Times New Roman" w:eastAsia="宋体" w:cs="Times New Roman"/>
          <w:szCs w:val="24"/>
          <w14:ligatures w14:val="none"/>
        </w:rPr>
        <w:t>综上所述，本研究与原文的主要差异体现在综合模型的贝叶斯因子估计上。尽管多次重复分析得到的 BF 数值存在一定波动，但参数估计值、95% HPD 区间以及效应量均与原研究高度一致，说明差异并非来源于数据处理或模型设定的不一致，而更可能与贝叶斯因子计算过程中边际似然的数值近似有关。由于 bridge sampling 需要基于 MCMC 后验样本估计模型边际似然，对于包含多个随机效应的层级模型，其估计结果可能受到 Monte Carlo 误差、后验样本质量以及采样稳定性的影响。此外，模型运行过程中出现的少量 divergence 和 tree depth warning 也可能影响边际似然估计的精确性。尽管 BF 的具体数值与原研究存在差异，但所有结果均支持包含实验条件效应的完整模型，因此该差异未改变研究的统计推断和理论结论。综合来看，本研究成功复现了原研究的主要发现，即实验条件对决策边界具有稳定影响。未来研究可通过增加MCMC采样数量、重复bridge sampling估计或固定随机种子等方式进一步提高BF估计的稳定性。</w:t>
      </w:r>
    </w:p>
    <w:p w14:paraId="35DC8131">
      <w:pPr>
        <w:pStyle w:val="3"/>
        <w:bidi w:val="0"/>
      </w:pPr>
      <w:r>
        <w:rPr>
          <w:rFonts w:hint="eastAsia"/>
        </w:rPr>
        <w:t>4.2 其他思考</w:t>
      </w:r>
    </w:p>
    <w:p w14:paraId="2A00905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sz w:val="21"/>
          <w:szCs w:val="21"/>
        </w:rPr>
      </w:pPr>
      <w:r>
        <w:rPr>
          <w:rFonts w:hint="eastAsia" w:ascii="Times New Roman" w:hAnsi="Times New Roman" w:eastAsia="宋体" w:cs="Times New Roman"/>
          <w:sz w:val="21"/>
          <w:szCs w:val="21"/>
        </w:rPr>
        <w:t>在本次复现过程中，人工智能工具主要发挥了辅助理解和问题排查的作用。例如，在阅读原始 R 代码、理解贝叶斯层级模型结构以及处理模型运行过程中出现的采样警告时，AI能够提供快速的信息检索和概念解释，帮助缩短学习复杂统计方法所需的时间。</w:t>
      </w:r>
    </w:p>
    <w:p w14:paraId="1A26B63D">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sz w:val="21"/>
          <w:szCs w:val="21"/>
        </w:rPr>
      </w:pPr>
      <w:r>
        <w:rPr>
          <w:rFonts w:hint="eastAsia" w:ascii="Times New Roman" w:hAnsi="Times New Roman" w:eastAsia="宋体" w:cs="Times New Roman"/>
          <w:sz w:val="21"/>
          <w:szCs w:val="21"/>
        </w:rPr>
        <w:t>但本次实践也表明，AI提供的解释并不能直接替代研究者对具体结果的判断。例如，在综合模型贝叶斯因子持续高于原研究的情况下，初步解释可能仅归因于随机波动；但结合多次重复计算结果后，需要进一步考虑边际似然估计、桥采样稳定性以及模型比较指标的特点。这一过程仍依赖研究者结合统计原理进行分析和判断。</w:t>
      </w:r>
    </w:p>
    <w:p w14:paraId="5DDBB18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ascii="Times New Roman" w:hAnsi="Times New Roman" w:eastAsia="宋体" w:cs="Times New Roman"/>
          <w:sz w:val="21"/>
          <w:szCs w:val="21"/>
        </w:rPr>
      </w:pPr>
      <w:r>
        <w:rPr>
          <w:rFonts w:ascii="Times New Roman" w:hAnsi="Times New Roman" w:eastAsia="宋体" w:cs="Times New Roman"/>
          <w:sz w:val="21"/>
          <w:szCs w:val="21"/>
        </w:rPr>
        <w:t>总体而言，本次课程实践不仅提升了</w:t>
      </w:r>
      <w:r>
        <w:rPr>
          <w:rFonts w:hint="eastAsia" w:ascii="Times New Roman" w:hAnsi="Times New Roman" w:eastAsia="宋体" w:cs="Times New Roman"/>
          <w:sz w:val="21"/>
          <w:szCs w:val="21"/>
          <w:lang w:val="en-US" w:eastAsia="zh-CN"/>
        </w:rPr>
        <w:t>我</w:t>
      </w:r>
      <w:r>
        <w:rPr>
          <w:rFonts w:ascii="Times New Roman" w:hAnsi="Times New Roman" w:eastAsia="宋体" w:cs="Times New Roman"/>
          <w:sz w:val="21"/>
          <w:szCs w:val="21"/>
        </w:rPr>
        <w:t>使用 R 进行贝叶斯数据分析和计算复现的能力，也使</w:t>
      </w:r>
      <w:r>
        <w:rPr>
          <w:rFonts w:hint="eastAsia" w:ascii="Times New Roman" w:hAnsi="Times New Roman" w:eastAsia="宋体" w:cs="Times New Roman"/>
          <w:sz w:val="21"/>
          <w:szCs w:val="21"/>
          <w:lang w:val="en-US" w:eastAsia="zh-CN"/>
        </w:rPr>
        <w:t>我</w:t>
      </w:r>
      <w:r>
        <w:rPr>
          <w:rFonts w:ascii="Times New Roman" w:hAnsi="Times New Roman" w:eastAsia="宋体" w:cs="Times New Roman"/>
          <w:sz w:val="21"/>
          <w:szCs w:val="21"/>
        </w:rPr>
        <w:t>更加深刻地认识到人工智能时代研究者角色的转变。未来的科研工作中，研究者既需要充分利用 AI 提高文献阅读、代码理解和数据分析效率，也需要保持对统计方法、模型假设和研究结论的独立思考，以确保研究过程的透明性和研究结果的可靠性。</w:t>
      </w:r>
    </w:p>
    <w:p w14:paraId="2D1C2ACC">
      <w:pPr>
        <w:rPr>
          <w:rFonts w:ascii="Times New Roman" w:hAnsi="Times New Roman" w:eastAsia="宋体" w:cs="Times New Roma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隶书">
    <w:panose1 w:val="02010509060101010101"/>
    <w:charset w:val="86"/>
    <w:family w:val="modern"/>
    <w:pitch w:val="default"/>
    <w:sig w:usb0="00000001" w:usb1="080E0000" w:usb2="00000000" w:usb3="00000000" w:csb0="00040000"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775B9"/>
    <w:rsid w:val="02A33A3A"/>
    <w:rsid w:val="0B3A0E7A"/>
    <w:rsid w:val="0E243E8A"/>
    <w:rsid w:val="19BF71CA"/>
    <w:rsid w:val="1CD730A2"/>
    <w:rsid w:val="1EE57FF9"/>
    <w:rsid w:val="23A8097D"/>
    <w:rsid w:val="23C0473E"/>
    <w:rsid w:val="26172B63"/>
    <w:rsid w:val="2B1E549A"/>
    <w:rsid w:val="2C8763E0"/>
    <w:rsid w:val="39AB195F"/>
    <w:rsid w:val="45616555"/>
    <w:rsid w:val="48566986"/>
    <w:rsid w:val="51614490"/>
    <w:rsid w:val="5BF50E83"/>
    <w:rsid w:val="5F294EEB"/>
    <w:rsid w:val="5F2A240E"/>
    <w:rsid w:val="62FC33D9"/>
    <w:rsid w:val="64441204"/>
    <w:rsid w:val="67BC4A38"/>
    <w:rsid w:val="77F9006D"/>
    <w:rsid w:val="78384CFB"/>
    <w:rsid w:val="786E2937"/>
    <w:rsid w:val="7D283F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14:ligatures w14:val="standardContextual"/>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b/>
      <w:kern w:val="44"/>
      <w:sz w:val="24"/>
    </w:rPr>
  </w:style>
  <w:style w:type="paragraph" w:styleId="3">
    <w:name w:val="heading 2"/>
    <w:basedOn w:val="1"/>
    <w:next w:val="1"/>
    <w:unhideWhenUsed/>
    <w:qFormat/>
    <w:uiPriority w:val="0"/>
    <w:pPr>
      <w:spacing w:before="0" w:beforeAutospacing="1" w:after="0" w:afterAutospacing="1"/>
      <w:jc w:val="left"/>
      <w:outlineLvl w:val="1"/>
    </w:pPr>
    <w:rPr>
      <w:rFonts w:hint="eastAsia" w:ascii="Times New Roman" w:hAnsi="Times New Roman" w:eastAsia="宋体" w:cs="Times New Roman"/>
      <w:b/>
      <w:bCs/>
      <w:kern w:val="0"/>
      <w:sz w:val="21"/>
      <w:szCs w:val="20"/>
      <w:lang w:bidi="ar"/>
    </w:rPr>
  </w:style>
  <w:style w:type="paragraph" w:styleId="4">
    <w:name w:val="heading 3"/>
    <w:basedOn w:val="1"/>
    <w:next w:val="1"/>
    <w:unhideWhenUsed/>
    <w:qFormat/>
    <w:uiPriority w:val="0"/>
    <w:pPr>
      <w:spacing w:before="0" w:beforeAutospacing="1" w:after="0" w:afterAutospacing="1"/>
      <w:jc w:val="left"/>
      <w:outlineLvl w:val="2"/>
    </w:pPr>
    <w:rPr>
      <w:rFonts w:hint="eastAsia" w:ascii="Times New Roman" w:hAnsi="Times New Roman" w:eastAsia="宋体"/>
      <w:bCs/>
      <w:kern w:val="0"/>
      <w:sz w:val="21"/>
      <w:szCs w:val="27"/>
      <w:lang w:bidi="ar"/>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00FF"/>
      <w:u w:val="single"/>
    </w:rPr>
  </w:style>
  <w:style w:type="paragraph" w:styleId="12">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fa222220-01e9-470a-a2c0-e79d3531c241</errorID>
      <errorWord>体</errorWord>
      <group>L1_Word</group>
      <groupName>字词问题</groupName>
      <ability>L2_Typo</ability>
      <abilityName>字词错误</abilityName>
      <candidateList>
        <item>体在</item>
      </candidateList>
      <explain/>
      <paraID>4834E4F0</paraID>
      <start>72</start>
      <end>73</end>
      <status>ignored</status>
      <modifiedWord/>
      <trackRevisions>false</trackRevisions>
    </reviewItem>
    <reviewItem>
      <errorID>cbe93350-8923-4991-9206-d6086d3cbae8</errorID>
      <errorWord>(</errorWord>
      <group>L1_Format</group>
      <groupName>格式问题</groupName>
      <ability>L2_HalfPunc_CN</ability>
      <abilityName>全半角问题</abilityName>
      <candidateList>
        <item>（</item>
      </candidateList>
      <explain>文本全半角错误。</explain>
      <paraID>35DC7D82</paraID>
      <start>2</start>
      <end>3</end>
      <status>ignored</status>
      <modifiedWord/>
      <trackRevisions>false</trackRevisions>
    </reviewItem>
    <reviewItem>
      <errorID>61440107-650b-41bf-8473-c6453d2ada53</errorID>
      <errorWord>)</errorWord>
      <group>L1_Format</group>
      <groupName>格式问题</groupName>
      <ability>L2_HalfPunc_CN</ability>
      <abilityName>全半角问题</abilityName>
      <candidateList>
        <item>）</item>
      </candidateList>
      <explain>文本全半角错误。</explain>
      <paraID>35DC7D82</paraID>
      <start>9</start>
      <end>10</end>
      <status>ignored</status>
      <modifiedWord/>
      <trackRevisions>false</trackRevisions>
    </reviewItem>
    <reviewItem>
      <errorID>eace87e3-23a0-4749-8ef4-1083f1ecc0fd</errorID>
      <errorWord>(</errorWord>
      <group>L1_Format</group>
      <groupName>格式问题</groupName>
      <ability>L2_HalfPunc_CN</ability>
      <abilityName>全半角问题</abilityName>
      <candidateList>
        <item>（</item>
      </candidateList>
      <explain>文本全半角错误。</explain>
      <paraID>35DC7D8B</paraID>
      <start>2</start>
      <end>3</end>
      <status>ignored</status>
      <modifiedWord/>
      <trackRevisions>false</trackRevisions>
    </reviewItem>
    <reviewItem>
      <errorID>08436506-d75f-4e30-9149-9ef917d563d3</errorID>
      <errorWord>)</errorWord>
      <group>L1_Format</group>
      <groupName>格式问题</groupName>
      <ability>L2_HalfPunc_CN</ability>
      <abilityName>全半角问题</abilityName>
      <candidateList>
        <item>）</item>
      </candidateList>
      <explain>文本全半角错误。</explain>
      <paraID>35DC7D8B</paraID>
      <start>9</start>
      <end>10</end>
      <status>ignored</status>
      <modifiedWord/>
      <trackRevisions>false</trackRevisions>
    </reviewItem>
    <reviewItem>
      <errorID>0d307a3c-f822-4147-a7ce-b26ba94622eb</errorID>
      <errorWord>第几</errorWord>
      <group>L1_Grammar</group>
      <groupName>语法问题</groupName>
      <ability>L2_Order</ability>
      <abilityName>语序不当</abilityName>
      <candidateList>
        <item>哪</item>
      </candidateList>
      <explain>句子可能没有遵循时空、逻辑顺序，或者介词、关联词等位置不当。</explain>
      <paraID>35DC7D8D</paraID>
      <start>16</start>
      <end>18</end>
      <status>ignored</status>
      <modifiedWord/>
      <trackRevisions>false</trackRevisions>
    </reviewItem>
    <reviewItem>
      <errorID>db69637d-8ef2-4e80-8e68-320cd1a28cdb</errorID>
      <errorWord>(</errorWord>
      <group>L1_Format</group>
      <groupName>格式问题</groupName>
      <ability>L2_HalfPunc_CN</ability>
      <abilityName>全半角问题</abilityName>
      <candidateList>
        <item>（</item>
      </candidateList>
      <explain>文本全半角错误。</explain>
      <paraID>35DC7D99</paraID>
      <start>2</start>
      <end>3</end>
      <status>ignored</status>
      <modifiedWord/>
      <trackRevisions>false</trackRevisions>
    </reviewItem>
    <reviewItem>
      <errorID>c586d9e4-6922-4465-97fe-6a3f7092652a</errorID>
      <errorWord>)</errorWord>
      <group>L1_Format</group>
      <groupName>格式问题</groupName>
      <ability>L2_HalfPunc_CN</ability>
      <abilityName>全半角问题</abilityName>
      <candidateList>
        <item>）</item>
      </candidateList>
      <explain>文本全半角错误。</explain>
      <paraID>35DC7D99</paraID>
      <start>7</start>
      <end>8</end>
      <status>ignored</status>
      <modifiedWord/>
      <trackRevisions>false</trackRevisions>
    </reviewItem>
    <reviewItem>
      <errorID>01460a5c-3230-420b-8b91-f87eefef9ab8</errorID>
      <errorWord>体</errorWord>
      <group>L1_Word</group>
      <groupName>字词问题</groupName>
      <ability>L2_Typo</ability>
      <abilityName>字词错误</abilityName>
      <candidateList>
        <item>体在</item>
      </candidateList>
      <explain/>
      <paraID>7A0F3113</paraID>
      <start>18</start>
      <end>20</end>
      <status>modified</status>
      <modifiedWord>体在</modifiedWord>
      <trackRevisions>false</trackRevisions>
    </reviewItem>
    <reviewItem>
      <errorID>ba08ca44-8379-4bff-83d7-d81b085484e5</errorID>
      <errorWord>，</errorWord>
      <group>L1_Word</group>
      <groupName>字词问题</groupName>
      <ability>L2_Typo</ability>
      <abilityName>字词错误</abilityName>
      <candidateList>
        <item>，提</item>
      </candidateList>
      <explain/>
      <paraID>7B13ACB1</paraID>
      <start>80</start>
      <end>81</end>
      <status>ignored</status>
      <modifiedWord/>
      <trackRevisions>false</trackRevisions>
    </reviewItem>
    <reviewItem>
      <errorID>f3f997d5-bfb7-40e6-b114-9137b71a4fca</errorID>
      <errorWord>体</errorWord>
      <group>L1_Word</group>
      <groupName>字词问题</groupName>
      <ability>L2_Typo</ability>
      <abilityName>字词错误</abilityName>
      <candidateList>
        <item>体在</item>
      </candidateList>
      <explain/>
      <paraID>1C3457FB</paraID>
      <start>18</start>
      <end>20</end>
      <status>modified</status>
      <modifiedWord>体在</modifiedWord>
      <trackRevisions>false</trackRevisions>
    </reviewItem>
    <reviewItem>
      <errorID>6fe218c7-23ed-4c04-956f-b9cb783137e0</errorID>
      <errorWord>*</errorWord>
      <group>L1_Punc</group>
      <groupName>标点问题</groupName>
      <ability>L2_Punc_CN</ability>
      <abilityName>标点符号问题</abilityName>
      <candidateList/>
      <explain/>
      <paraID>35DC802C</paraID>
      <start>0</start>
      <end>1</end>
      <status>ignored</status>
      <modifiedWord/>
      <trackRevisions>false</trackRevisions>
    </reviewItem>
    <reviewItem>
      <errorID>41cb7a8d-7cf6-4e53-b829-06a98919e863</errorID>
      <errorWord>(</errorWord>
      <group>L1_Format</group>
      <groupName>格式问题</groupName>
      <ability>L2_HalfPunc_CN</ability>
      <abilityName>全半角问题</abilityName>
      <candidateList>
        <item>（</item>
      </candidateList>
      <explain>文本全半角错误。</explain>
      <paraID>35DC805A</paraID>
      <start>4</start>
      <end>5</end>
      <status>ignored</status>
      <modifiedWord/>
      <trackRevisions>false</trackRevisions>
    </reviewItem>
    <reviewItem>
      <errorID>63c6f681-186b-41a6-a506-e90879aa5b58</errorID>
      <errorWord>(</errorWord>
      <group>L1_Format</group>
      <groupName>格式问题</groupName>
      <ability>L2_HalfPunc_CN</ability>
      <abilityName>全半角问题</abilityName>
      <candidateList>
        <item>（</item>
      </candidateList>
      <explain>文本全半角错误。</explain>
      <paraID>35DC805E</paraID>
      <start>4</start>
      <end>5</end>
      <status>ignored</status>
      <modifiedWord/>
      <trackRevisions>false</trackRevisions>
    </reviewItem>
    <reviewItem>
      <errorID>e5d4a0d3-1c28-4502-b1fb-3b2ce2df17c3</errorID>
      <errorWord>)</errorWord>
      <group>L1_Format</group>
      <groupName>格式问题</groupName>
      <ability>L2_HalfPunc_CN</ability>
      <abilityName>全半角问题</abilityName>
      <candidateList>
        <item>）</item>
      </candidateList>
      <explain>文本全半角错误。</explain>
      <paraID>35DC805E</paraID>
      <start>17</start>
      <end>18</end>
      <status>ignored</status>
      <modifiedWord/>
      <trackRevisions>false</trackRevisions>
    </reviewItem>
    <reviewItem>
      <errorID>27b7abcf-8503-4875-b514-e81445e859a9</errorID>
      <errorWord>(</errorWord>
      <group>L1_Format</group>
      <groupName>格式问题</groupName>
      <ability>L2_HalfPunc_CN</ability>
      <abilityName>全半角问题</abilityName>
      <candidateList>
        <item>（</item>
      </candidateList>
      <explain>文本全半角错误。</explain>
      <paraID>35DC8062</paraID>
      <start>4</start>
      <end>5</end>
      <status>ignored</status>
      <modifiedWord/>
      <trackRevisions>false</trackRevisions>
    </reviewItem>
    <reviewItem>
      <errorID>6751d996-8adc-4915-a26a-2257cc373689</errorID>
      <errorWord>)</errorWord>
      <group>L1_Format</group>
      <groupName>格式问题</groupName>
      <ability>L2_HalfPunc_CN</ability>
      <abilityName>全半角问题</abilityName>
      <candidateList>
        <item>）</item>
      </candidateList>
      <explain>文本全半角错误。</explain>
      <paraID>35DC8062</paraID>
      <start>12</start>
      <end>13</end>
      <status>ignored</status>
      <modifiedWord/>
      <trackRevisions>false</trackRevisions>
    </reviewItem>
    <reviewItem>
      <errorID>f720a9ea-d03f-405d-b645-d4de0bdd97ac</errorID>
      <errorWord>*</errorWord>
      <group>L1_Punc</group>
      <groupName>标点问题</groupName>
      <ability>L2_Punc_CN</ability>
      <abilityName>标点符号问题</abilityName>
      <candidateList/>
      <explain/>
      <paraID>35DC806A</paraID>
      <start>0</start>
      <end>1</end>
      <status>ignored</status>
      <modifiedWord/>
      <trackRevisions>false</trackRevisions>
    </reviewItem>
    <reviewItem>
      <errorID>6de18d4f-4c6a-4165-bebf-0212476a19d0</errorID>
      <errorWord>(</errorWord>
      <group>L1_Format</group>
      <groupName>格式问题</groupName>
      <ability>L2_HalfPunc_CN</ability>
      <abilityName>全半角问题</abilityName>
      <candidateList>
        <item>（</item>
      </candidateList>
      <explain>文本全半角错误。</explain>
      <paraID>35DC806A</paraID>
      <start>61</start>
      <end>62</end>
      <status>ignored</status>
      <modifiedWord/>
      <trackRevisions>false</trackRevisions>
    </reviewItem>
    <reviewItem>
      <errorID>5131ec38-4b79-4f87-be12-8f76807fa107</errorID>
      <errorWord>)</errorWord>
      <group>L1_Format</group>
      <groupName>格式问题</groupName>
      <ability>L2_HalfPunc_CN</ability>
      <abilityName>全半角问题</abilityName>
      <candidateList>
        <item>）</item>
      </candidateList>
      <explain>文本全半角错误。</explain>
      <paraID>35DC806A</paraID>
      <start>86</start>
      <end>87</end>
      <status>ignored</status>
      <modifiedWord/>
      <trackRevisions>false</trackRevisions>
    </reviewItem>
    <reviewItem>
      <errorID>29a64937-1eb1-4766-bde3-aed1c3835f01</errorID>
      <errorWord>(</errorWord>
      <group>L1_Format</group>
      <groupName>格式问题</groupName>
      <ability>L2_HalfPunc_CN</ability>
      <abilityName>全半角问题</abilityName>
      <candidateList>
        <item>（</item>
      </candidateList>
      <explain>文本全半角错误。</explain>
      <paraID>35DC806A</paraID>
      <start>94</start>
      <end>95</end>
      <status>ignored</status>
      <modifiedWord/>
      <trackRevisions>false</trackRevisions>
    </reviewItem>
    <reviewItem>
      <errorID>3f1a5cfa-b2c1-4b04-ae70-843f67187bfb</errorID>
      <errorWord>)</errorWord>
      <group>L1_Format</group>
      <groupName>格式问题</groupName>
      <ability>L2_HalfPunc_CN</ability>
      <abilityName>全半角问题</abilityName>
      <candidateList>
        <item>）</item>
      </candidateList>
      <explain>文本全半角错误。</explain>
      <paraID>35DC806A</paraID>
      <start>120</start>
      <end>121</end>
      <status>ignored</status>
      <modifiedWord/>
      <trackRevisions>false</trackRevisions>
    </reviewItem>
    <reviewItem>
      <errorID>0ca72b95-cb16-4a9b-972c-64f6722b9125</errorID>
      <errorWord>(</errorWord>
      <group>L1_Format</group>
      <groupName>格式问题</groupName>
      <ability>L2_HalfPunc_CN</ability>
      <abilityName>全半角问题</abilityName>
      <candidateList>
        <item>（</item>
      </candidateList>
      <explain>文本全半角错误。</explain>
      <paraID>35DC806A</paraID>
      <start>125</start>
      <end>126</end>
      <status>ignored</status>
      <modifiedWord/>
      <trackRevisions>false</trackRevisions>
    </reviewItem>
    <reviewItem>
      <errorID>6abd284a-40ff-4c45-a205-b9a19655cd7e</errorID>
      <errorWord>)</errorWord>
      <group>L1_Format</group>
      <groupName>格式问题</groupName>
      <ability>L2_HalfPunc_CN</ability>
      <abilityName>全半角问题</abilityName>
      <candidateList>
        <item>）</item>
      </candidateList>
      <explain>文本全半角错误。</explain>
      <paraID>35DC806A</paraID>
      <start>137</start>
      <end>138</end>
      <status>ignored</status>
      <modifiedWord/>
      <trackRevisions>false</trackRevisions>
    </reviewItem>
    <reviewItem>
      <errorID>40b12c56-c9b8-458d-8b7e-c6b8bb9129d4</errorID>
      <errorWord>(</errorWord>
      <group>L1_Format</group>
      <groupName>格式问题</groupName>
      <ability>L2_HalfPunc_CN</ability>
      <abilityName>全半角问题</abilityName>
      <candidateList>
        <item>（</item>
      </candidateList>
      <explain>文本全半角错误。</explain>
      <paraID>35DC806A</paraID>
      <start>142</start>
      <end>143</end>
      <status>ignored</status>
      <modifiedWord/>
      <trackRevisions>false</trackRevisions>
    </reviewItem>
    <reviewItem>
      <errorID>f17860a4-594e-4474-8103-e9be52c8ab5f</errorID>
      <errorWord>)</errorWord>
      <group>L1_Format</group>
      <groupName>格式问题</groupName>
      <ability>L2_HalfPunc_CN</ability>
      <abilityName>全半角问题</abilityName>
      <candidateList>
        <item>）</item>
      </candidateList>
      <explain>文本全半角错误。</explain>
      <paraID>35DC806A</paraID>
      <start>154</start>
      <end>155</end>
      <status>ignored</status>
      <modifiedWord/>
      <trackRevisions>false</trackRevisions>
    </reviewItem>
    <reviewItem>
      <errorID>af07d305-7e09-4a30-9c8e-d42ebf41a97d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35DC806A</paraID>
      <start>212</start>
      <end>213</end>
      <status>ignored</status>
      <modifiedWord/>
      <trackRevisions>false</trackRevisions>
    </reviewItem>
    <reviewItem>
      <errorID>b2909c1d-5081-4370-a8e9-fc3dff0cdf4b</errorID>
      <errorWord>(</errorWord>
      <group>L1_Format</group>
      <groupName>格式问题</groupName>
      <ability>L2_HalfPunc_CN</ability>
      <abilityName>全半角问题</abilityName>
      <candidateList>
        <item>（</item>
      </candidateList>
      <explain>文本全半角错误。</explain>
      <paraID>35DC806B</paraID>
      <start>15</start>
      <end>16</end>
      <status>ignored</status>
      <modifiedWord/>
      <trackRevisions>false</trackRevisions>
    </reviewItem>
    <reviewItem>
      <errorID>ee6dfb04-7bdb-41a1-aa8a-8d25589f6001</errorID>
      <errorWord>)</errorWord>
      <group>L1_Format</group>
      <groupName>格式问题</groupName>
      <ability>L2_HalfPunc_CN</ability>
      <abilityName>全半角问题</abilityName>
      <candidateList>
        <item>）</item>
      </candidateList>
      <explain>文本全半角错误。</explain>
      <paraID>35DC806B</paraID>
      <start>21</start>
      <end>22</end>
      <status>ignored</status>
      <modifiedWord/>
      <trackRevisions>false</trackRevisions>
    </reviewItem>
    <reviewItem>
      <errorID>6710a3e1-b1fc-48d9-a68a-57d17e50f8a2</errorID>
      <errorWord>*</errorWord>
      <group>L1_Punc</group>
      <groupName>标点问题</groupName>
      <ability>L2_Punc_CN</ability>
      <abilityName>标点符号问题</abilityName>
      <candidateList/>
      <explain/>
      <paraID>35DC807B</paraID>
      <start>0</start>
      <end>1</end>
      <status>ignored</status>
      <modifiedWord/>
      <trackRevisions>false</trackRevisions>
    </reviewItem>
    <reviewItem>
      <errorID>103bfd45-3194-4f97-b238-ff3b2d87107f</errorID>
      <errorWord>、以及</errorWord>
      <group>L1_Punc</group>
      <groupName>标点问题</groupName>
      <ability>L2_Punc_CN</ability>
      <abilityName>标点符号问题</abilityName>
      <candidateList>
        <item>，以及</item>
      </candidateList>
      <explain>连接词前后不宜使用顿号，建议使用逗号。</explain>
      <paraID>35DC80AC</paraID>
      <start>40</start>
      <end>43</end>
      <status>ignored</status>
      <modifiedWord/>
      <trackRevisions>false</trackRevisions>
    </reviewItem>
    <reviewItem>
      <errorID>96083745-9cd5-42cb-b32f-fdf4c68498a2</errorID>
      <errorWord>(</errorWord>
      <group>L1_Format</group>
      <groupName>格式问题</groupName>
      <ability>L2_HalfPunc_CN</ability>
      <abilityName>全半角问题</abilityName>
      <candidateList>
        <item>（</item>
      </candidateList>
      <explain>文本全半角错误。</explain>
      <paraID>35DC80BA</paraID>
      <start>24</start>
      <end>25</end>
      <status>ignored</status>
      <modifiedWord/>
      <trackRevisions>false</trackRevisions>
    </reviewItem>
    <reviewItem>
      <errorID>12c1c87a-be80-4cbe-926e-5cac012f5f8c</errorID>
      <errorWord>)</errorWord>
      <group>L1_Format</group>
      <groupName>格式问题</groupName>
      <ability>L2_HalfPunc_CN</ability>
      <abilityName>全半角问题</abilityName>
      <candidateList>
        <item>）</item>
      </candidateList>
      <explain>文本全半角错误。</explain>
      <paraID>35DC80BA</paraID>
      <start>33</start>
      <end>34</end>
      <status>ignored</status>
      <modifiedWord/>
      <trackRevisions>false</trackRevisions>
    </reviewItem>
    <reviewItem>
      <errorID>7a91f19a-ad54-4c1e-9755-8986d9fdcb65</errorID>
      <errorWord>(</errorWord>
      <group>L1_Format</group>
      <groupName>格式问题</groupName>
      <ability>L2_HalfPunc_CN</ability>
      <abilityName>全半角问题</abilityName>
      <candidateList>
        <item>（</item>
      </candidateList>
      <explain>文本全半角错误。</explain>
      <paraID>35DC810F</paraID>
      <start>34</start>
      <end>35</end>
      <status>ignored</status>
      <modifiedWord/>
      <trackRevisions>false</trackRevisions>
    </reviewItem>
    <reviewItem>
      <errorID>2e971ff9-8c64-4c48-92da-163fa83a5ac9</errorID>
      <errorWord>)</errorWord>
      <group>L1_Format</group>
      <groupName>格式问题</groupName>
      <ability>L2_HalfPunc_CN</ability>
      <abilityName>全半角问题</abilityName>
      <candidateList>
        <item>）</item>
      </candidateList>
      <explain>文本全半角错误。</explain>
      <paraID>35DC810F</paraID>
      <start>41</start>
      <end>42</end>
      <status>ignored</status>
      <modifiedWord/>
      <trackRevisions>false</trackRevisions>
    </reviewItem>
    <reviewItem>
      <errorID>3af635d7-a1f2-4818-9d6f-53e4ca413d18</errorID>
      <errorWord>(</errorWord>
      <group>L1_Format</group>
      <groupName>格式问题</groupName>
      <ability>L2_HalfPunc_CN</ability>
      <abilityName>全半角问题</abilityName>
      <candidateList>
        <item>（</item>
      </candidateList>
      <explain>文本全半角错误。</explain>
      <paraID>35DC812C</paraID>
      <start>25</start>
      <end>26</end>
      <status>ignored</status>
      <modifiedWord/>
      <trackRevisions>false</trackRevisions>
    </reviewItem>
    <reviewItem>
      <errorID>39347549-bd54-41b6-993f-faa388df459c</errorID>
      <errorWord>)</errorWord>
      <group>L1_Format</group>
      <groupName>格式问题</groupName>
      <ability>L2_HalfPunc_CN</ability>
      <abilityName>全半角问题</abilityName>
      <candidateList>
        <item>）</item>
      </candidateList>
      <explain>文本全半角错误。</explain>
      <paraID>35DC812C</paraID>
      <start>32</start>
      <end>33</end>
      <status>ignored</status>
      <modifiedWord/>
      <trackRevisions>false</trackRevisions>
    </reviewItem>
  </reviewItems>
  <config/>
</contractReview>
</file>

<file path=customXml/itemProps1.xml><?xml version="1.0" encoding="utf-8"?>
<ds:datastoreItem xmlns:ds="http://schemas.openxmlformats.org/officeDocument/2006/customXml" ds:itemID="{b5be14cb-ece4-405a-a3e4-5b1bc4e2ffbd}">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3782</Words>
  <Characters>4642</Characters>
  <Lines>0</Lines>
  <Paragraphs>0</Paragraphs>
  <TotalTime>11</TotalTime>
  <ScaleCrop>false</ScaleCrop>
  <LinksUpToDate>false</LinksUpToDate>
  <CharactersWithSpaces>4883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2026-05-24T11:47:00Z</dcterms:created>
  <dc:creator>HONOR</dc:creator>
  <cp:lastModifiedBy>俞静欢</cp:lastModifiedBy>
  <dcterms:modified xsi:type="dcterms:W3CDTF">2026-06-23T10:40:36Z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eyJoZGlkIjoiYmQ3NjQxYmZmN2ZkODIxYWNiNTEzMzQyMTZmNzQ1MmMiLCJ1c2VySWQiOiIxMDYyMTE3MzY2In0=</vt:lpwstr>
  </property>
  <property fmtid="{D5CDD505-2E9C-101B-9397-08002B2CF9AE}" pid="4" name="ICV">
    <vt:lpwstr>DD87BDE9B3F649B3958240259BCD86BE_12</vt:lpwstr>
  </property>
</Properties>
</file>