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96A54" w14:textId="3058FD26" w:rsidR="00EC4158" w:rsidRDefault="00EC4158" w:rsidP="00EC4158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F46342" wp14:editId="718C9E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22905"/>
            <wp:effectExtent l="0" t="0" r="0" b="0"/>
            <wp:wrapSquare wrapText="bothSides"/>
            <wp:docPr id="130242145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1454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0CDA3" w14:textId="5B440C85" w:rsidR="00EC4158" w:rsidRPr="00E63564" w:rsidRDefault="00EC4158" w:rsidP="00EC4158">
      <w:pPr>
        <w:jc w:val="both"/>
        <w:rPr>
          <w:rFonts w:ascii="Times New Roman" w:hAnsi="Times New Roman" w:cs="Times New Roman"/>
          <w:b/>
          <w:bCs/>
          <w:noProof/>
        </w:rPr>
      </w:pPr>
      <w:r w:rsidRPr="00E63564">
        <w:rPr>
          <w:rFonts w:ascii="Times New Roman" w:hAnsi="Times New Roman" w:cs="Times New Roman"/>
          <w:b/>
          <w:bCs/>
          <w:noProof/>
        </w:rPr>
        <w:t xml:space="preserve">Supplementary Figure 8. </w:t>
      </w:r>
      <w:r w:rsidRPr="00E63564">
        <w:rPr>
          <w:rFonts w:ascii="Times New Roman" w:hAnsi="Times New Roman" w:cs="Times New Roman"/>
          <w:noProof/>
        </w:rPr>
        <w:t>(</w:t>
      </w:r>
      <w:r w:rsidRPr="00E63564">
        <w:rPr>
          <w:rFonts w:ascii="Times New Roman" w:hAnsi="Times New Roman" w:cs="Times New Roman"/>
          <w:b/>
          <w:bCs/>
          <w:noProof/>
        </w:rPr>
        <w:t>a</w:t>
      </w:r>
      <w:r w:rsidRPr="00E63564">
        <w:rPr>
          <w:rFonts w:ascii="Times New Roman" w:hAnsi="Times New Roman" w:cs="Times New Roman"/>
          <w:noProof/>
        </w:rPr>
        <w:t>), (</w:t>
      </w:r>
      <w:r w:rsidRPr="00E63564">
        <w:rPr>
          <w:rFonts w:ascii="Times New Roman" w:hAnsi="Times New Roman" w:cs="Times New Roman"/>
          <w:b/>
          <w:bCs/>
          <w:noProof/>
        </w:rPr>
        <w:t>b</w:t>
      </w:r>
      <w:r w:rsidRPr="00E63564">
        <w:rPr>
          <w:rFonts w:ascii="Times New Roman" w:hAnsi="Times New Roman" w:cs="Times New Roman"/>
          <w:noProof/>
        </w:rPr>
        <w:t>), and (</w:t>
      </w:r>
      <w:r w:rsidRPr="00E63564">
        <w:rPr>
          <w:rFonts w:ascii="Times New Roman" w:hAnsi="Times New Roman" w:cs="Times New Roman"/>
          <w:b/>
          <w:bCs/>
          <w:noProof/>
        </w:rPr>
        <w:t>c</w:t>
      </w:r>
      <w:r w:rsidRPr="00E63564">
        <w:rPr>
          <w:rFonts w:ascii="Times New Roman" w:hAnsi="Times New Roman" w:cs="Times New Roman"/>
          <w:noProof/>
        </w:rPr>
        <w:t xml:space="preserve">) are histograms confirming reactive oxygen species (ROS) generation by OVCAR8, OVCA429, and OVCAR3 cells, respectively, using </w:t>
      </w:r>
      <w:r w:rsidRPr="00E63564">
        <w:rPr>
          <w:rFonts w:ascii="Times New Roman" w:hAnsi="Times New Roman" w:cs="Times New Roman"/>
          <w:bCs/>
        </w:rPr>
        <w:t xml:space="preserve">TBHP at 250µM as </w:t>
      </w:r>
      <w:r w:rsidRPr="00E63564">
        <w:rPr>
          <w:rFonts w:ascii="Times New Roman" w:hAnsi="Times New Roman" w:cs="Times New Roman"/>
          <w:noProof/>
        </w:rPr>
        <w:t>a positive control.</w:t>
      </w:r>
      <w:r w:rsidRPr="00E63564">
        <w:rPr>
          <w:rFonts w:ascii="Times New Roman" w:hAnsi="Times New Roman" w:cs="Times New Roman"/>
          <w:b/>
          <w:bCs/>
          <w:noProof/>
        </w:rPr>
        <w:t xml:space="preserve"> </w:t>
      </w:r>
      <w:r w:rsidRPr="00E63564">
        <w:rPr>
          <w:rFonts w:ascii="Times New Roman" w:hAnsi="Times New Roman" w:cs="Times New Roman"/>
          <w:noProof/>
        </w:rPr>
        <w:t>(</w:t>
      </w:r>
      <w:r w:rsidRPr="00E63564">
        <w:rPr>
          <w:rFonts w:ascii="Times New Roman" w:hAnsi="Times New Roman" w:cs="Times New Roman"/>
          <w:b/>
          <w:bCs/>
          <w:noProof/>
        </w:rPr>
        <w:t>d</w:t>
      </w:r>
      <w:r w:rsidRPr="00E63564">
        <w:rPr>
          <w:rFonts w:ascii="Times New Roman" w:hAnsi="Times New Roman" w:cs="Times New Roman"/>
          <w:noProof/>
        </w:rPr>
        <w:t>), (</w:t>
      </w:r>
      <w:r w:rsidRPr="00E63564">
        <w:rPr>
          <w:rFonts w:ascii="Times New Roman" w:hAnsi="Times New Roman" w:cs="Times New Roman"/>
          <w:b/>
          <w:bCs/>
          <w:noProof/>
        </w:rPr>
        <w:t>e</w:t>
      </w:r>
      <w:r w:rsidRPr="00E63564">
        <w:rPr>
          <w:rFonts w:ascii="Times New Roman" w:hAnsi="Times New Roman" w:cs="Times New Roman"/>
          <w:noProof/>
        </w:rPr>
        <w:t>), and (</w:t>
      </w:r>
      <w:r w:rsidRPr="00E63564">
        <w:rPr>
          <w:rFonts w:ascii="Times New Roman" w:hAnsi="Times New Roman" w:cs="Times New Roman"/>
          <w:b/>
          <w:bCs/>
          <w:noProof/>
        </w:rPr>
        <w:t>f</w:t>
      </w:r>
      <w:r w:rsidRPr="00E63564">
        <w:rPr>
          <w:rFonts w:ascii="Times New Roman" w:hAnsi="Times New Roman" w:cs="Times New Roman"/>
          <w:noProof/>
        </w:rPr>
        <w:t xml:space="preserve">) show </w:t>
      </w:r>
      <w:r>
        <w:rPr>
          <w:rFonts w:ascii="Times New Roman" w:hAnsi="Times New Roman" w:cs="Times New Roman"/>
          <w:noProof/>
        </w:rPr>
        <w:t>HIF</w:t>
      </w:r>
      <w:r w:rsidRPr="00E63564">
        <w:rPr>
          <w:rFonts w:ascii="Times New Roman" w:hAnsi="Times New Roman" w:cs="Times New Roman"/>
          <w:noProof/>
        </w:rPr>
        <w:t xml:space="preserve">-1 alpha protein expression during </w:t>
      </w:r>
      <w:r w:rsidRPr="00E63564">
        <w:rPr>
          <w:rFonts w:ascii="Times New Roman" w:hAnsi="Times New Roman" w:cs="Times New Roman"/>
          <w:bCs/>
        </w:rPr>
        <w:t>tripartite combination treatment of olaparib (600n</w:t>
      </w:r>
      <w:r>
        <w:rPr>
          <w:rFonts w:ascii="Times New Roman" w:hAnsi="Times New Roman" w:cs="Times New Roman"/>
          <w:bCs/>
        </w:rPr>
        <w:t>mol/L</w:t>
      </w:r>
      <w:r w:rsidRPr="00E63564">
        <w:rPr>
          <w:rFonts w:ascii="Times New Roman" w:hAnsi="Times New Roman" w:cs="Times New Roman"/>
          <w:bCs/>
        </w:rPr>
        <w:t xml:space="preserve">), </w:t>
      </w:r>
      <w:r>
        <w:rPr>
          <w:rFonts w:ascii="Times New Roman" w:hAnsi="Times New Roman" w:cs="Times New Roman"/>
          <w:bCs/>
        </w:rPr>
        <w:t>FSK</w:t>
      </w:r>
      <w:r w:rsidRPr="00E63564">
        <w:rPr>
          <w:rFonts w:ascii="Times New Roman" w:hAnsi="Times New Roman" w:cs="Times New Roman"/>
          <w:bCs/>
        </w:rPr>
        <w:t xml:space="preserve"> (5µ</w:t>
      </w:r>
      <w:r>
        <w:rPr>
          <w:rFonts w:ascii="Times New Roman" w:hAnsi="Times New Roman" w:cs="Times New Roman"/>
          <w:bCs/>
        </w:rPr>
        <w:t>mol/L</w:t>
      </w:r>
      <w:r w:rsidRPr="00E63564">
        <w:rPr>
          <w:rFonts w:ascii="Times New Roman" w:hAnsi="Times New Roman" w:cs="Times New Roman"/>
          <w:bCs/>
        </w:rPr>
        <w:t xml:space="preserve">), and CMP </w:t>
      </w:r>
      <w:r w:rsidRPr="00E63564">
        <w:rPr>
          <w:rFonts w:ascii="Times New Roman" w:hAnsi="Times New Roman" w:cs="Times New Roman"/>
        </w:rPr>
        <w:t>(400µ</w:t>
      </w:r>
      <w:r>
        <w:rPr>
          <w:rFonts w:ascii="Times New Roman" w:hAnsi="Times New Roman" w:cs="Times New Roman"/>
        </w:rPr>
        <w:t>mol/L</w:t>
      </w:r>
      <w:r w:rsidRPr="00E63564">
        <w:rPr>
          <w:rFonts w:ascii="Times New Roman" w:hAnsi="Times New Roman" w:cs="Times New Roman"/>
        </w:rPr>
        <w:t>)</w:t>
      </w:r>
      <w:r w:rsidRPr="00E63564">
        <w:rPr>
          <w:rFonts w:ascii="Times New Roman" w:hAnsi="Times New Roman" w:cs="Times New Roman"/>
          <w:noProof/>
        </w:rPr>
        <w:t xml:space="preserve"> at 96h of treatment in OVCAR8, OVCA429, and OVCAR3 cells, respectively. </w:t>
      </w:r>
    </w:p>
    <w:p w14:paraId="006ED410" w14:textId="77777777" w:rsidR="00C347E3" w:rsidRDefault="00C347E3"/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58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E83E8D"/>
    <w:rsid w:val="00EC4158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4076"/>
  <w15:chartTrackingRefBased/>
  <w15:docId w15:val="{2A7F710C-1BED-418E-A4C3-E53A0AA2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158"/>
  </w:style>
  <w:style w:type="paragraph" w:styleId="Heading1">
    <w:name w:val="heading 1"/>
    <w:basedOn w:val="Normal"/>
    <w:next w:val="Normal"/>
    <w:link w:val="Heading1Char"/>
    <w:uiPriority w:val="9"/>
    <w:qFormat/>
    <w:rsid w:val="00EC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2024-11-20T19:26:00Z</dcterms:created>
  <dcterms:modified xsi:type="dcterms:W3CDTF">2024-11-20T19:26:00Z</dcterms:modified>
</cp:coreProperties>
</file>