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FAEE7" w14:textId="60D448EB" w:rsidR="008A7408" w:rsidRDefault="004F3877" w:rsidP="004F387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45939C3" wp14:editId="246FF1D6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5943600" cy="4395470"/>
            <wp:effectExtent l="0" t="0" r="0" b="0"/>
            <wp:wrapSquare wrapText="bothSides"/>
            <wp:docPr id="83392855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855" name="Picture 1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11AE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4</w:t>
      </w:r>
      <w:r w:rsidRPr="004611AE">
        <w:rPr>
          <w:rFonts w:ascii="Times New Roman" w:hAnsi="Times New Roman" w:cs="Times New Roman"/>
          <w:b/>
          <w:bCs/>
        </w:rPr>
        <w:t>, Villagomez, 2024</w:t>
      </w:r>
    </w:p>
    <w:p w14:paraId="0A0633EE" w14:textId="0267BD42" w:rsidR="00032299" w:rsidRDefault="00032299" w:rsidP="00497A20"/>
    <w:p w14:paraId="28FE9DE5" w14:textId="453F93DD" w:rsidR="00032299" w:rsidRDefault="00032299" w:rsidP="00497A20"/>
    <w:p w14:paraId="07922B99" w14:textId="0ADA5F6E" w:rsidR="00BD607F" w:rsidRPr="00FD6EF8" w:rsidRDefault="00BD607F" w:rsidP="00BD607F">
      <w:pPr>
        <w:spacing w:line="240" w:lineRule="auto"/>
        <w:jc w:val="both"/>
        <w:rPr>
          <w:rFonts w:ascii="Times New Roman" w:hAnsi="Times New Roman" w:cs="Times New Roman"/>
        </w:rPr>
      </w:pPr>
      <w:r w:rsidRPr="00FD6EF8">
        <w:rPr>
          <w:rFonts w:ascii="Times New Roman" w:hAnsi="Times New Roman" w:cs="Times New Roman"/>
          <w:b/>
          <w:bCs/>
        </w:rPr>
        <w:t xml:space="preserve">Supplementary Figure </w:t>
      </w:r>
      <w:r w:rsidR="00085F88">
        <w:rPr>
          <w:rFonts w:ascii="Times New Roman" w:hAnsi="Times New Roman" w:cs="Times New Roman"/>
          <w:b/>
          <w:bCs/>
        </w:rPr>
        <w:t>4</w:t>
      </w:r>
      <w:r w:rsidRPr="00FD6EF8">
        <w:rPr>
          <w:rFonts w:ascii="Times New Roman" w:hAnsi="Times New Roman" w:cs="Times New Roman"/>
          <w:b/>
          <w:bCs/>
        </w:rPr>
        <w:t xml:space="preserve">. </w:t>
      </w:r>
      <w:r w:rsidRPr="00FD6EF8">
        <w:rPr>
          <w:rFonts w:ascii="Times New Roman" w:hAnsi="Times New Roman" w:cs="Times New Roman"/>
        </w:rPr>
        <w:t>(</w:t>
      </w:r>
      <w:r w:rsidRPr="00FD6EF8">
        <w:rPr>
          <w:rFonts w:ascii="Times New Roman" w:hAnsi="Times New Roman" w:cs="Times New Roman"/>
          <w:b/>
          <w:bCs/>
        </w:rPr>
        <w:t>a</w:t>
      </w:r>
      <w:r w:rsidRPr="00FD6EF8">
        <w:rPr>
          <w:rFonts w:ascii="Times New Roman" w:hAnsi="Times New Roman" w:cs="Times New Roman"/>
        </w:rPr>
        <w:t>), correlation analysis of relapse-free survival (RFS) in breast cancer, (</w:t>
      </w:r>
      <w:r w:rsidRPr="00FD6EF8">
        <w:rPr>
          <w:rFonts w:ascii="Times New Roman" w:hAnsi="Times New Roman" w:cs="Times New Roman"/>
          <w:b/>
          <w:bCs/>
        </w:rPr>
        <w:t>b</w:t>
      </w:r>
      <w:r w:rsidRPr="00FD6EF8">
        <w:rPr>
          <w:rFonts w:ascii="Times New Roman" w:hAnsi="Times New Roman" w:cs="Times New Roman"/>
        </w:rPr>
        <w:t>) overall survival (OS) in lung, and OS in (</w:t>
      </w:r>
      <w:r w:rsidRPr="00FD6EF8">
        <w:rPr>
          <w:rFonts w:ascii="Times New Roman" w:hAnsi="Times New Roman" w:cs="Times New Roman"/>
          <w:b/>
          <w:bCs/>
        </w:rPr>
        <w:t>c</w:t>
      </w:r>
      <w:r w:rsidRPr="00FD6EF8">
        <w:rPr>
          <w:rFonts w:ascii="Times New Roman" w:hAnsi="Times New Roman" w:cs="Times New Roman"/>
        </w:rPr>
        <w:t>) stomach cancer with identified claudin-4 clusters (all, cluster 4 and cluster 3)</w:t>
      </w:r>
      <w:r>
        <w:rPr>
          <w:rFonts w:ascii="Times New Roman" w:hAnsi="Times New Roman" w:cs="Times New Roman"/>
        </w:rPr>
        <w:t xml:space="preserve"> (significance p&lt;0.05)</w:t>
      </w:r>
      <w:r w:rsidR="00EF0516">
        <w:rPr>
          <w:rFonts w:ascii="Times New Roman" w:hAnsi="Times New Roman" w:cs="Times New Roman"/>
        </w:rPr>
        <w:t xml:space="preserve"> (Kaplan-Meir Plotter)</w:t>
      </w:r>
      <w:r w:rsidRPr="00FD6EF8">
        <w:rPr>
          <w:rFonts w:ascii="Times New Roman" w:hAnsi="Times New Roman" w:cs="Times New Roman"/>
        </w:rPr>
        <w:t>.</w:t>
      </w:r>
    </w:p>
    <w:p w14:paraId="4784B2AA" w14:textId="77777777" w:rsidR="00032299" w:rsidRDefault="00032299" w:rsidP="00497A20"/>
    <w:p w14:paraId="582FF83C" w14:textId="77777777" w:rsidR="00032299" w:rsidRDefault="00032299" w:rsidP="00497A20"/>
    <w:p w14:paraId="6AC8F6CE" w14:textId="77777777" w:rsidR="00085F88" w:rsidRDefault="00085F88" w:rsidP="00497A20"/>
    <w:p w14:paraId="3843CB36" w14:textId="77777777" w:rsidR="00085F88" w:rsidRDefault="00085F88" w:rsidP="00497A20"/>
    <w:p w14:paraId="3BBBF422" w14:textId="77777777" w:rsidR="00085F88" w:rsidRDefault="00085F88" w:rsidP="00497A20"/>
    <w:p w14:paraId="51B9F646" w14:textId="77777777" w:rsidR="00085F88" w:rsidRDefault="00085F88" w:rsidP="00497A20"/>
    <w:p w14:paraId="67641D86" w14:textId="77777777" w:rsidR="00085F88" w:rsidRDefault="00085F88" w:rsidP="00497A20"/>
    <w:p w14:paraId="113E37F6" w14:textId="77777777" w:rsidR="00FD6B44" w:rsidRDefault="00FD6B44" w:rsidP="00497A20"/>
    <w:p w14:paraId="5C78074F" w14:textId="77777777" w:rsidR="00FD6B44" w:rsidRDefault="00FD6B44" w:rsidP="00497A20"/>
    <w:p w14:paraId="6C0CB0CD" w14:textId="47A44434" w:rsidR="00D319B0" w:rsidRPr="00D319B0" w:rsidRDefault="00D319B0" w:rsidP="00497A20">
      <w:pPr>
        <w:rPr>
          <w:b/>
          <w:bCs/>
        </w:rPr>
      </w:pPr>
      <w:r>
        <w:rPr>
          <w:b/>
          <w:bCs/>
        </w:rPr>
        <w:t xml:space="preserve">Supplementary bibliographic references: </w:t>
      </w:r>
    </w:p>
    <w:p w14:paraId="15362321" w14:textId="7AC06B0C" w:rsidR="00D319B0" w:rsidRPr="00D319B0" w:rsidRDefault="00064520" w:rsidP="00D319B0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D319B0" w:rsidRPr="00D319B0">
        <w:t>1.</w:t>
      </w:r>
      <w:r w:rsidR="00D319B0" w:rsidRPr="00D319B0">
        <w:tab/>
        <w:t xml:space="preserve">Gehne, N., Lamik, A., Lehmann, M., Haseloff, R.F., Andjelkovic, A.V., and Blasig, I.E. (2017). Cross-over endocytosis of claudins is mediated by interactions via their extracellular loops. PloS one </w:t>
      </w:r>
      <w:r w:rsidR="00D319B0" w:rsidRPr="00D319B0">
        <w:rPr>
          <w:i/>
        </w:rPr>
        <w:t>12</w:t>
      </w:r>
      <w:r w:rsidR="00D319B0" w:rsidRPr="00D319B0">
        <w:t>, e0182106. 10.1371/journal.pone.0182106.</w:t>
      </w:r>
    </w:p>
    <w:p w14:paraId="7CA52806" w14:textId="77777777" w:rsidR="00D319B0" w:rsidRPr="00D319B0" w:rsidRDefault="00D319B0" w:rsidP="00D319B0">
      <w:pPr>
        <w:pStyle w:val="EndNoteBibliography"/>
        <w:spacing w:after="0"/>
        <w:ind w:left="720" w:hanging="720"/>
      </w:pPr>
      <w:r w:rsidRPr="00D319B0">
        <w:t>2.</w:t>
      </w:r>
      <w:r w:rsidRPr="00D319B0">
        <w:tab/>
        <w:t xml:space="preserve">Piontek, J., Winkler, L., Wolburg, H., Muller, S.L., Zuleger, N., Piehl, C., Wiesner, B., Krause, G., and Blasig, I.E. (2008). Formation of tight junction: determinants of homophilic interaction between classic claudins. FASEB J </w:t>
      </w:r>
      <w:r w:rsidRPr="00D319B0">
        <w:rPr>
          <w:i/>
        </w:rPr>
        <w:t>22</w:t>
      </w:r>
      <w:r w:rsidRPr="00D319B0">
        <w:t>, 146-158. 10.1096/fj.07-8319com.</w:t>
      </w:r>
    </w:p>
    <w:p w14:paraId="4BE390B4" w14:textId="5CA5C177" w:rsidR="00D319B0" w:rsidRPr="00D319B0" w:rsidRDefault="00D319B0" w:rsidP="00D319B0">
      <w:pPr>
        <w:pStyle w:val="EndNoteBibliography"/>
        <w:spacing w:after="0"/>
        <w:ind w:left="720" w:hanging="720"/>
      </w:pPr>
      <w:r w:rsidRPr="00D319B0">
        <w:lastRenderedPageBreak/>
        <w:t>3.</w:t>
      </w:r>
      <w:r w:rsidRPr="00D319B0">
        <w:tab/>
        <w:t xml:space="preserve">Baumgartner, H.K., Beeman, N., Hodges, R.S., and Neville, M.C. (2011). A D-peptide analog of the second extracellular loop of claudin-3 and -4 leads to mislocalized claudin and cellular apoptosis in mammary epithelial cells. Chem Biol Drug Des </w:t>
      </w:r>
      <w:r w:rsidRPr="00D319B0">
        <w:rPr>
          <w:i/>
        </w:rPr>
        <w:t>77</w:t>
      </w:r>
      <w:r w:rsidRPr="00D319B0">
        <w:t>, 124-136. 10.1111/j.1747-0285.2010.01061.x.</w:t>
      </w:r>
    </w:p>
    <w:p w14:paraId="375B329A" w14:textId="77777777" w:rsidR="00D319B0" w:rsidRPr="00D319B0" w:rsidRDefault="00D319B0" w:rsidP="00D319B0">
      <w:pPr>
        <w:pStyle w:val="EndNoteBibliography"/>
        <w:ind w:left="720" w:hanging="720"/>
      </w:pPr>
      <w:r w:rsidRPr="00D319B0">
        <w:t>4.</w:t>
      </w:r>
      <w:r w:rsidRPr="00D319B0">
        <w:tab/>
        <w:t xml:space="preserve">Hicks, D.A., Galimanis, C.E., Webb, P.G., Spillman, M.A., Behbakht, K., Neville, M.C., and Baumgartner, H.K. (2016). Claudin-4 activity in ovarian tumor cell apoptosis resistance and migration. BMC Cancer </w:t>
      </w:r>
      <w:r w:rsidRPr="00D319B0">
        <w:rPr>
          <w:i/>
        </w:rPr>
        <w:t>16</w:t>
      </w:r>
      <w:r w:rsidRPr="00D319B0">
        <w:t>, 788. 10.1186/s12885-016-2799-7.</w:t>
      </w:r>
    </w:p>
    <w:p w14:paraId="1EBC91D3" w14:textId="362D9887" w:rsidR="00497A20" w:rsidRPr="00497A20" w:rsidRDefault="00064520" w:rsidP="00497A20">
      <w:r>
        <w:fldChar w:fldCharType="end"/>
      </w:r>
    </w:p>
    <w:sectPr w:rsidR="00497A20" w:rsidRPr="00497A20" w:rsidSect="007A0D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olecular Cell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dztsr95f90wqe55fzvx9zgrxxx9ptea9w5&quot;&gt;My EndNote Library_MANUSCRIPT_claudin_4-Converted&lt;record-ids&gt;&lt;item&gt;1&lt;/item&gt;&lt;item&gt;84&lt;/item&gt;&lt;item&gt;102&lt;/item&gt;&lt;item&gt;212&lt;/item&gt;&lt;/record-ids&gt;&lt;/item&gt;&lt;/Libraries&gt;"/>
  </w:docVars>
  <w:rsids>
    <w:rsidRoot w:val="00497A20"/>
    <w:rsid w:val="00032299"/>
    <w:rsid w:val="00064520"/>
    <w:rsid w:val="00085F88"/>
    <w:rsid w:val="000D5272"/>
    <w:rsid w:val="00107078"/>
    <w:rsid w:val="001A058E"/>
    <w:rsid w:val="001A2547"/>
    <w:rsid w:val="001B1E1C"/>
    <w:rsid w:val="00207065"/>
    <w:rsid w:val="002134A4"/>
    <w:rsid w:val="0024080F"/>
    <w:rsid w:val="00291F06"/>
    <w:rsid w:val="002B33FE"/>
    <w:rsid w:val="002B628A"/>
    <w:rsid w:val="002F0E3C"/>
    <w:rsid w:val="0031053A"/>
    <w:rsid w:val="00406571"/>
    <w:rsid w:val="00462B47"/>
    <w:rsid w:val="00486649"/>
    <w:rsid w:val="00497A20"/>
    <w:rsid w:val="004F3877"/>
    <w:rsid w:val="005E07BD"/>
    <w:rsid w:val="00674AAB"/>
    <w:rsid w:val="006D2FAF"/>
    <w:rsid w:val="006D635A"/>
    <w:rsid w:val="00700F3B"/>
    <w:rsid w:val="0073371A"/>
    <w:rsid w:val="007A0DB0"/>
    <w:rsid w:val="007C29D3"/>
    <w:rsid w:val="007E0E87"/>
    <w:rsid w:val="008A7408"/>
    <w:rsid w:val="008D7DD4"/>
    <w:rsid w:val="00935BA1"/>
    <w:rsid w:val="009841E9"/>
    <w:rsid w:val="009C6E91"/>
    <w:rsid w:val="00A12275"/>
    <w:rsid w:val="00AD3732"/>
    <w:rsid w:val="00B55077"/>
    <w:rsid w:val="00B6184B"/>
    <w:rsid w:val="00BA497F"/>
    <w:rsid w:val="00BD607F"/>
    <w:rsid w:val="00C15573"/>
    <w:rsid w:val="00C347E3"/>
    <w:rsid w:val="00C4388C"/>
    <w:rsid w:val="00C7169D"/>
    <w:rsid w:val="00C73D01"/>
    <w:rsid w:val="00C92325"/>
    <w:rsid w:val="00D0309F"/>
    <w:rsid w:val="00D319B0"/>
    <w:rsid w:val="00D55389"/>
    <w:rsid w:val="00E10D67"/>
    <w:rsid w:val="00E75F57"/>
    <w:rsid w:val="00E83E8D"/>
    <w:rsid w:val="00EB0BC7"/>
    <w:rsid w:val="00EF0516"/>
    <w:rsid w:val="00F431AC"/>
    <w:rsid w:val="00F71A0A"/>
    <w:rsid w:val="00F81279"/>
    <w:rsid w:val="00FD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D5DD"/>
  <w15:chartTrackingRefBased/>
  <w15:docId w15:val="{D91801F9-2303-4CDE-BC09-4FF89805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A20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064520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64520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064520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64520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Bitler, Benjamin G</cp:lastModifiedBy>
  <cp:revision>2</cp:revision>
  <dcterms:created xsi:type="dcterms:W3CDTF">2024-05-20T21:41:00Z</dcterms:created>
  <dcterms:modified xsi:type="dcterms:W3CDTF">2024-05-20T21:41:00Z</dcterms:modified>
</cp:coreProperties>
</file>