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9477D" w14:textId="768E8213" w:rsidR="003516D1" w:rsidRPr="00E63564" w:rsidRDefault="003516D1" w:rsidP="003516D1">
      <w:pPr>
        <w:spacing w:before="240"/>
        <w:jc w:val="both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D848A6" wp14:editId="54AFAA6E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5850890" cy="6743700"/>
            <wp:effectExtent l="0" t="0" r="0" b="0"/>
            <wp:wrapSquare wrapText="bothSides"/>
            <wp:docPr id="111795714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7147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3564">
        <w:rPr>
          <w:rFonts w:ascii="Times New Roman" w:hAnsi="Times New Roman" w:cs="Times New Roman"/>
          <w:b/>
          <w:bCs/>
          <w:noProof/>
        </w:rPr>
        <w:t>Supplementary Figure 7.</w:t>
      </w:r>
      <w:r w:rsidRPr="00E63564">
        <w:rPr>
          <w:rFonts w:ascii="Times New Roman" w:hAnsi="Times New Roman" w:cs="Times New Roman"/>
        </w:rPr>
        <w:t xml:space="preserve"> </w:t>
      </w:r>
      <w:r w:rsidRPr="00A96C91">
        <w:rPr>
          <w:rFonts w:ascii="Times New Roman" w:hAnsi="Times New Roman" w:cs="Times New Roman"/>
          <w:noProof/>
        </w:rPr>
        <w:t>(</w:t>
      </w:r>
      <w:r w:rsidRPr="00A96C91">
        <w:rPr>
          <w:rFonts w:ascii="Times New Roman" w:hAnsi="Times New Roman" w:cs="Times New Roman"/>
          <w:b/>
          <w:bCs/>
          <w:noProof/>
        </w:rPr>
        <w:t>a-c</w:t>
      </w:r>
      <w:r w:rsidRPr="00A96C91">
        <w:rPr>
          <w:rFonts w:ascii="Times New Roman" w:hAnsi="Times New Roman" w:cs="Times New Roman"/>
          <w:noProof/>
        </w:rPr>
        <w:t>) Displays lamin B1 expression via immunoblotting (IB) during tripartite treatment with olaparib (600 nmol/L), FSK (5 µmol/L), and CMP (400 µmol/L) over 24–96h in OVCAR8 (WT and claudin-4-overexpressing cells, CLDN4), OVCA429 (WT and claudin-4 knockdown cells, KD), and OVCAR3 (WT and KD) cells, respectively. Lamin B1 intracellular distribution during the same treatment at 96h is shown in OVCAR8 WT (</w:t>
      </w:r>
      <w:r w:rsidRPr="00A96C91">
        <w:rPr>
          <w:rFonts w:ascii="Times New Roman" w:hAnsi="Times New Roman" w:cs="Times New Roman"/>
          <w:b/>
          <w:bCs/>
          <w:noProof/>
        </w:rPr>
        <w:t>d</w:t>
      </w:r>
      <w:r w:rsidRPr="00A96C91">
        <w:rPr>
          <w:rFonts w:ascii="Times New Roman" w:hAnsi="Times New Roman" w:cs="Times New Roman"/>
          <w:noProof/>
        </w:rPr>
        <w:t>) and CLDN4 cells (</w:t>
      </w:r>
      <w:r w:rsidRPr="00A96C91">
        <w:rPr>
          <w:rFonts w:ascii="Times New Roman" w:hAnsi="Times New Roman" w:cs="Times New Roman"/>
          <w:b/>
          <w:bCs/>
          <w:noProof/>
        </w:rPr>
        <w:t>e</w:t>
      </w:r>
      <w:r w:rsidRPr="00A96C91">
        <w:rPr>
          <w:rFonts w:ascii="Times New Roman" w:hAnsi="Times New Roman" w:cs="Times New Roman"/>
          <w:noProof/>
        </w:rPr>
        <w:t>). Similar data are presented in (</w:t>
      </w:r>
      <w:r w:rsidRPr="00A96C91">
        <w:rPr>
          <w:rFonts w:ascii="Times New Roman" w:hAnsi="Times New Roman" w:cs="Times New Roman"/>
          <w:b/>
          <w:bCs/>
          <w:noProof/>
        </w:rPr>
        <w:t>f</w:t>
      </w:r>
      <w:r w:rsidRPr="00A96C91">
        <w:rPr>
          <w:rFonts w:ascii="Times New Roman" w:hAnsi="Times New Roman" w:cs="Times New Roman"/>
          <w:noProof/>
        </w:rPr>
        <w:t xml:space="preserve"> and </w:t>
      </w:r>
      <w:r w:rsidRPr="00A96C91">
        <w:rPr>
          <w:rFonts w:ascii="Times New Roman" w:hAnsi="Times New Roman" w:cs="Times New Roman"/>
          <w:b/>
          <w:bCs/>
          <w:noProof/>
        </w:rPr>
        <w:t>g</w:t>
      </w:r>
      <w:r w:rsidRPr="00A96C91">
        <w:rPr>
          <w:rFonts w:ascii="Times New Roman" w:hAnsi="Times New Roman" w:cs="Times New Roman"/>
          <w:noProof/>
        </w:rPr>
        <w:t>) for OVCA429 WT and KD cells, and in (</w:t>
      </w:r>
      <w:r w:rsidRPr="00A96C91">
        <w:rPr>
          <w:rFonts w:ascii="Times New Roman" w:hAnsi="Times New Roman" w:cs="Times New Roman"/>
          <w:b/>
          <w:bCs/>
          <w:noProof/>
        </w:rPr>
        <w:t>h</w:t>
      </w:r>
      <w:r w:rsidRPr="00A96C91">
        <w:rPr>
          <w:rFonts w:ascii="Times New Roman" w:hAnsi="Times New Roman" w:cs="Times New Roman"/>
          <w:noProof/>
        </w:rPr>
        <w:t xml:space="preserve"> and </w:t>
      </w:r>
      <w:r w:rsidRPr="00A96C91">
        <w:rPr>
          <w:rFonts w:ascii="Times New Roman" w:hAnsi="Times New Roman" w:cs="Times New Roman"/>
          <w:b/>
          <w:bCs/>
          <w:noProof/>
        </w:rPr>
        <w:t>i</w:t>
      </w:r>
      <w:r w:rsidRPr="00A96C91">
        <w:rPr>
          <w:rFonts w:ascii="Times New Roman" w:hAnsi="Times New Roman" w:cs="Times New Roman"/>
          <w:noProof/>
        </w:rPr>
        <w:t>) for OVCAR3 WT and KD cells, respectively. Scale bar: 10 µm.</w:t>
      </w:r>
    </w:p>
    <w:sectPr w:rsidR="003516D1" w:rsidRPr="00E63564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D1"/>
    <w:rsid w:val="00291F06"/>
    <w:rsid w:val="003516D1"/>
    <w:rsid w:val="00404086"/>
    <w:rsid w:val="00462B47"/>
    <w:rsid w:val="00700F3B"/>
    <w:rsid w:val="007C29D3"/>
    <w:rsid w:val="007E0E87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20B6"/>
  <w15:chartTrackingRefBased/>
  <w15:docId w15:val="{47DE22C1-C5D3-4313-933A-3AD159E9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D1"/>
  </w:style>
  <w:style w:type="paragraph" w:styleId="Heading1">
    <w:name w:val="heading 1"/>
    <w:basedOn w:val="Normal"/>
    <w:next w:val="Normal"/>
    <w:link w:val="Heading1Char"/>
    <w:uiPriority w:val="9"/>
    <w:qFormat/>
    <w:rsid w:val="0035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2024-11-20T19:24:00Z</dcterms:created>
  <dcterms:modified xsi:type="dcterms:W3CDTF">2024-11-20T19:25:00Z</dcterms:modified>
</cp:coreProperties>
</file>