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HW1</w:t>
      </w:r>
      <w:r>
        <w:t xml:space="preserve"> </w:t>
      </w:r>
      <w:bookmarkEnd w:id="20"/>
    </w:p>
    <w:p>
      <w:pPr>
        <w:pStyle w:val="Heading2"/>
      </w:pPr>
      <w:bookmarkStart w:id="21" w:name="header-n2"/>
      <w:r>
        <w:t xml:space="preserve">Q1</w:t>
      </w:r>
      <w:bookmarkEnd w:id="21"/>
    </w:p>
    <w:p>
      <w:pPr>
        <w:pStyle w:val="Heading3"/>
      </w:pPr>
      <w:bookmarkStart w:id="22" w:name="header-n3"/>
      <w:r>
        <w:t xml:space="preserve">(1)</w:t>
      </w:r>
      <w:r>
        <w:t xml:space="preserve"> </w:t>
      </w:r>
      <w:bookmarkEnd w:id="22"/>
    </w:p>
    <w:p>
      <w:pPr>
        <w:pStyle w:val="FirstParagraph"/>
      </w:pPr>
      <w:r>
        <w:t xml:space="preserve">ER Diagram is as follow:</w:t>
      </w:r>
    </w:p>
    <w:p>
      <w:pPr>
        <w:pStyle w:val="CaptionedFigure"/>
      </w:pPr>
      <w:r>
        <w:drawing>
          <wp:inline>
            <wp:extent cx="5334000" cy="39025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est1\Documents\Homework\Web app\hw1\q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No overlap constraint, for every</w:t>
      </w:r>
      <w:r>
        <w:t xml:space="preserve"> </w:t>
      </w:r>
      <w:r>
        <w:rPr>
          <w:i/>
        </w:rPr>
        <w:t xml:space="preserve">employee</w:t>
      </w:r>
      <w:r>
        <w:t xml:space="preserve"> </w:t>
      </w:r>
      <w:r>
        <w:t xml:space="preserve">has at most one specialization.</w:t>
      </w:r>
    </w:p>
    <w:p>
      <w:pPr>
        <w:pStyle w:val="BodyText"/>
      </w:pPr>
      <w:r>
        <w:t xml:space="preserve">No covering constraint, for some</w:t>
      </w:r>
      <w:r>
        <w:t xml:space="preserve"> </w:t>
      </w:r>
      <w:r>
        <w:rPr>
          <w:i/>
        </w:rPr>
        <w:t xml:space="preserve">employees</w:t>
      </w:r>
      <w:r>
        <w:t xml:space="preserve"> </w:t>
      </w:r>
      <w:r>
        <w:t xml:space="preserve">may have zero specialization.</w:t>
      </w:r>
    </w:p>
    <w:p>
      <w:pPr>
        <w:pStyle w:val="Heading3"/>
      </w:pPr>
      <w:bookmarkStart w:id="24" w:name="header-n8"/>
      <w:r>
        <w:t xml:space="preserve">(2)</w:t>
      </w:r>
      <w:bookmarkEnd w:id="24"/>
    </w:p>
    <w:p>
      <w:pPr>
        <w:pStyle w:val="FirstParagraph"/>
      </w:pPr>
      <w:r>
        <w:t xml:space="preserve">The SQL statements are as follow: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gym(</w:t>
      </w:r>
      <w:r>
        <w:br/>
      </w:r>
      <w:r>
        <w:rPr>
          <w:rStyle w:val="NormalTok"/>
        </w:rPr>
        <w:t xml:space="preserve">	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	strNum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strName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ZIP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(name)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phoneNum(</w:t>
      </w:r>
      <w:r>
        <w:br/>
      </w:r>
      <w:r>
        <w:rPr>
          <w:rStyle w:val="NormalTok"/>
        </w:rPr>
        <w:t xml:space="preserve">	phoneNum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gymName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(phoneNum),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gym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employee(</w:t>
      </w:r>
      <w:r>
        <w:br/>
      </w:r>
      <w:r>
        <w:rPr>
          <w:rStyle w:val="NormalTok"/>
        </w:rPr>
        <w:t xml:space="preserve">    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specialization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(SSN)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workIn(</w:t>
      </w:r>
      <w:r>
        <w:br/>
      </w:r>
      <w:r>
        <w:rPr>
          <w:rStyle w:val="NormalTok"/>
        </w:rPr>
        <w:t xml:space="preserve">    gymName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employeeSSN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timePts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(gymName,employeeSSN),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gym,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(employeeSSN) REFERENCE employee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manages(</w:t>
      </w:r>
      <w:r>
        <w:br/>
      </w:r>
      <w:r>
        <w:rPr>
          <w:rStyle w:val="NormalTok"/>
        </w:rPr>
        <w:t xml:space="preserve">    gymName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employeeSSN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(gymName),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gym,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(employeeSSN) REFERENCE employee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customer(</w:t>
      </w:r>
      <w:r>
        <w:br/>
      </w:r>
      <w:r>
        <w:rPr>
          <w:rStyle w:val="NormalTok"/>
        </w:rPr>
        <w:t xml:space="preserve">    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age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(SSN)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goesTo(</w:t>
      </w:r>
      <w:r>
        <w:br/>
      </w:r>
      <w:r>
        <w:rPr>
          <w:rStyle w:val="NormalTok"/>
        </w:rPr>
        <w:t xml:space="preserve">    gymName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customerSSN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(gymName,customerSSN),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(gymName)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gym,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(customerSSN) REFERENCE customer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guest(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age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hostSSN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(name,age),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(hostSSN)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customer</w:t>
      </w:r>
      <w:r>
        <w:br/>
      </w:r>
      <w:r>
        <w:rPr>
          <w:rStyle w:val="NormalTok"/>
        </w:rPr>
        <w:t xml:space="preserve">);</w:t>
      </w:r>
    </w:p>
    <w:p>
      <w:pPr>
        <w:pStyle w:val="Heading2"/>
      </w:pPr>
      <w:bookmarkStart w:id="25" w:name="header-n11"/>
      <w:r>
        <w:t xml:space="preserve">Q2</w:t>
      </w:r>
      <w:bookmarkEnd w:id="25"/>
    </w:p>
    <w:p>
      <w:pPr>
        <w:pStyle w:val="Heading3"/>
      </w:pPr>
      <w:bookmarkStart w:id="26" w:name="header-n12"/>
      <w:r>
        <w:t xml:space="preserve">(1)</w:t>
      </w:r>
      <w:bookmarkEnd w:id="26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s.sname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Suppliers s, Catalog c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s.sid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c.sid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s.sid </w:t>
      </w:r>
      <w:r>
        <w:br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(c.pid)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parts);</w:t>
      </w:r>
    </w:p>
    <w:p>
      <w:pPr>
        <w:pStyle w:val="Heading3"/>
      </w:pPr>
      <w:bookmarkStart w:id="27" w:name="header-n14"/>
      <w:r>
        <w:t xml:space="preserve">(2)</w:t>
      </w:r>
      <w:bookmarkEnd w:id="27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C.sid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Catalog C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(C1.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Catalog C1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C1.pid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C.pid);</w:t>
      </w:r>
    </w:p>
    <w:p>
      <w:pPr>
        <w:pStyle w:val="Heading3"/>
      </w:pPr>
      <w:bookmarkStart w:id="28" w:name="header-n16"/>
      <w:r>
        <w:t xml:space="preserve">(3)</w:t>
      </w:r>
      <w:bookmarkEnd w:id="28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S.sname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Suppliers S, Parts P, Catalog C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(C1.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Catalog C1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C1.pid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C.pid);</w:t>
      </w:r>
    </w:p>
    <w:p>
      <w:pPr>
        <w:pStyle w:val="Heading3"/>
      </w:pPr>
      <w:bookmarkStart w:id="29" w:name="header-n18"/>
      <w:r>
        <w:t xml:space="preserve">(4)</w:t>
      </w:r>
      <w:bookmarkEnd w:id="29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C.sid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Catalog C, Parts 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"red"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header-n20"/>
      <w:r>
        <w:t xml:space="preserve">(5)</w:t>
      </w:r>
      <w:bookmarkEnd w:id="30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C.sid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Catalog C, Parts 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(P.color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"red"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P.color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"green"</w:t>
      </w:r>
      <w:r>
        <w:rPr>
          <w:rStyle w:val="NormalTok"/>
        </w:rPr>
        <w:t xml:space="preserve">);</w:t>
      </w:r>
    </w:p>
    <w:p>
      <w:pPr>
        <w:pStyle w:val="Heading3"/>
      </w:pPr>
      <w:bookmarkStart w:id="31" w:name="header-n22"/>
      <w:r>
        <w:t xml:space="preserve">(6)</w:t>
      </w:r>
      <w:bookmarkEnd w:id="31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S.sname,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(C.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Suppliers S, Catalog C, Parts 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C.sid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P.pid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P.color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"red"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"green"</w:t>
      </w:r>
      <w:r>
        <w:rPr>
          <w:rStyle w:val="NormalTok"/>
        </w:rPr>
        <w:t xml:space="preserve">);</w:t>
      </w:r>
    </w:p>
    <w:p>
      <w:pPr>
        <w:pStyle w:val="Heading2"/>
      </w:pPr>
      <w:bookmarkStart w:id="32" w:name="header-n24"/>
      <w:r>
        <w:t xml:space="preserve">Q3</w:t>
      </w:r>
      <w:bookmarkEnd w:id="32"/>
    </w:p>
    <w:p>
      <w:pPr>
        <w:pStyle w:val="Heading3"/>
      </w:pPr>
      <w:bookmarkStart w:id="33" w:name="header-n25"/>
      <w:r>
        <w:t xml:space="preserve">(1)</w:t>
      </w:r>
      <w:bookmarkEnd w:id="33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MS.MovieID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MovieSupplier MS, Suppliers 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MS.SupplierID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S.SupplierID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S.SupplierName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"Ben's Video"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"Video Clubhouse"</w:t>
      </w:r>
      <w:r>
        <w:rPr>
          <w:rStyle w:val="NormalTok"/>
        </w:rPr>
        <w:t xml:space="preserve">);</w:t>
      </w:r>
    </w:p>
    <w:p>
      <w:pPr>
        <w:pStyle w:val="Heading3"/>
      </w:pPr>
      <w:bookmarkStart w:id="34" w:name="header-n27"/>
      <w:r>
        <w:t xml:space="preserve">(2)</w:t>
      </w:r>
      <w:bookmarkEnd w:id="34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I.MovieID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Inventory I, Rentals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I.TapeID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R.TapeID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Rentals);</w:t>
      </w:r>
    </w:p>
    <w:p>
      <w:pPr>
        <w:pStyle w:val="Heading3"/>
      </w:pPr>
      <w:bookmarkStart w:id="35" w:name="header-n29"/>
      <w:r>
        <w:t xml:space="preserve">(3)</w:t>
      </w:r>
      <w:bookmarkEnd w:id="35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MS.SupplierID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Inventory I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MovieSupplier MS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I.MovieID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MS.MovieID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MS.SupplierID</w:t>
      </w:r>
      <w:r>
        <w:br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(MS.MovieID)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MovieID)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Inventory);</w:t>
      </w:r>
    </w:p>
    <w:p>
      <w:pPr>
        <w:pStyle w:val="Heading3"/>
      </w:pPr>
      <w:bookmarkStart w:id="36" w:name="header-n31"/>
      <w:r>
        <w:t xml:space="preserve">(4)</w:t>
      </w:r>
      <w:bookmarkEnd w:id="36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MS.SupplierID,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(I.MovieID)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MovieSupplier MS, Inventory I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MS.MovieID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I.MovieID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MS.SupplierID;</w:t>
      </w:r>
    </w:p>
    <w:p>
      <w:pPr>
        <w:pStyle w:val="Heading3"/>
      </w:pPr>
      <w:bookmarkStart w:id="37" w:name="header-n33"/>
      <w:r>
        <w:t xml:space="preserve">(5)</w:t>
      </w:r>
      <w:bookmarkEnd w:id="37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O.MovieID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Orders O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(O.Copies)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O.MovieID;</w:t>
      </w:r>
    </w:p>
    <w:p>
      <w:pPr>
        <w:pStyle w:val="Heading3"/>
      </w:pPr>
      <w:bookmarkStart w:id="38" w:name="header-n35"/>
      <w:r>
        <w:t xml:space="preserve">(6)</w:t>
      </w:r>
      <w:bookmarkEnd w:id="38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R.CustomerID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Rentals R, Inventory I, Movies M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R.TapeID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I.TapeID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M.MovieID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M.MovieName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"Kung Fu Panda"</w:t>
      </w:r>
      <w:r>
        <w:br/>
      </w:r>
      <w:r>
        <w:rPr>
          <w:rStyle w:val="KeywordTok"/>
        </w:rPr>
        <w:t xml:space="preserve">UNION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R.CustomerID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Rentals R, Inventory I, MovieSupplier MS, Suppliers 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R.TapeID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I.TapeID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MS.MovieID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MS.SupplierID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S.SupplierID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S.SupplierName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"Palm Video"</w:t>
      </w:r>
      <w:r>
        <w:rPr>
          <w:rStyle w:val="NormalTok"/>
        </w:rPr>
        <w:t xml:space="preserve">;</w:t>
      </w:r>
    </w:p>
    <w:p>
      <w:pPr>
        <w:pStyle w:val="Heading3"/>
      </w:pPr>
      <w:bookmarkStart w:id="39" w:name="header-n37"/>
      <w:r>
        <w:t xml:space="preserve">(7)</w:t>
      </w:r>
      <w:bookmarkEnd w:id="39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I.MovieID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Inventory I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(I.TapeID)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I.MovieID;</w:t>
      </w:r>
    </w:p>
    <w:p>
      <w:pPr>
        <w:pStyle w:val="Heading3"/>
      </w:pPr>
      <w:bookmarkStart w:id="40" w:name="header-n39"/>
      <w:r>
        <w:t xml:space="preserve">(8)</w:t>
      </w:r>
      <w:bookmarkEnd w:id="40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R.CustomerID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Rentals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R.Duration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header-n41"/>
      <w:r>
        <w:t xml:space="preserve">(9)</w:t>
      </w:r>
      <w:bookmarkEnd w:id="41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MS.SupplierID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MovieSupplier MS, Movies M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MS.MovieID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M.MovieID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M.MovieName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"Cinderella 2015"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MS.Price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Price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MovieSupplier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M.MovieID);</w:t>
      </w:r>
    </w:p>
    <w:p>
      <w:pPr>
        <w:pStyle w:val="Heading3"/>
      </w:pPr>
      <w:bookmarkStart w:id="42" w:name="header-n43"/>
      <w:r>
        <w:t xml:space="preserve">(10)</w:t>
      </w:r>
      <w:bookmarkEnd w:id="42"/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Movies</w:t>
      </w:r>
      <w:r>
        <w:br/>
      </w:r>
      <w:r>
        <w:rPr>
          <w:rStyle w:val="KeywordTok"/>
        </w:rPr>
        <w:t xml:space="preserve">EXCEPT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MovieID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Inventory;</w:t>
      </w:r>
    </w:p>
    <w:p>
      <w:pPr>
        <w:pStyle w:val="Heading2"/>
      </w:pPr>
      <w:bookmarkStart w:id="43" w:name="header-n45"/>
      <w:r>
        <w:t xml:space="preserve">Q4</w:t>
      </w:r>
      <w:bookmarkEnd w:id="43"/>
    </w:p>
    <w:p>
      <w:pPr>
        <w:pStyle w:val="Heading3"/>
      </w:pPr>
      <w:bookmarkStart w:id="44" w:name="header-n46"/>
      <w:r>
        <w:t xml:space="preserve">(1)</w:t>
      </w:r>
      <w:bookmarkEnd w:id="44"/>
    </w:p>
    <w:p>
      <w:pPr>
        <w:pStyle w:val="FirstParagraph"/>
      </w:pPr>
      <w:r>
        <w:t xml:space="preserve">First, it would set (111,4) to (111,1.5), because 4&gt;3&gt;1 which meets the trigger requirement:</w:t>
      </w:r>
    </w:p>
    <w:p>
      <w:pPr>
        <w:pStyle w:val="SourceCode"/>
      </w:pPr>
      <w:r>
        <w:rPr>
          <w:rStyle w:val="NormalTok"/>
        </w:rPr>
        <w:t xml:space="preserve"> (OldTuple.price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NewTuple.price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NewTuple.price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 </w:t>
      </w:r>
      <w:r>
        <w:t xml:space="preserve">And then, it would complete the original update statement to set (111,1.5) to (111,3), because the trigger is run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update</w:t>
      </w:r>
    </w:p>
    <w:p>
      <w:pPr>
        <w:pStyle w:val="Heading3"/>
      </w:pPr>
      <w:bookmarkStart w:id="45" w:name="header-n50"/>
      <w:r>
        <w:t xml:space="preserve">(2)</w:t>
      </w:r>
      <w:bookmarkEnd w:id="45"/>
    </w:p>
    <w:p>
      <w:pPr>
        <w:pStyle w:val="FirstParagraph"/>
      </w:pPr>
      <w:r>
        <w:t xml:space="preserve"> </w:t>
      </w:r>
      <w:r>
        <w:t xml:space="preserve">First, (111,4) --&gt; (111,3)</w:t>
      </w:r>
    </w:p>
    <w:p>
      <w:pPr>
        <w:pStyle w:val="BodyText"/>
      </w:pPr>
      <w:r>
        <w:t xml:space="preserve"> </w:t>
      </w:r>
      <w:r>
        <w:t xml:space="preserve">Then, (111,3) --&gt; (111,1.5)</w:t>
      </w:r>
    </w:p>
    <w:p>
      <w:pPr>
        <w:pStyle w:val="Heading3"/>
      </w:pPr>
      <w:bookmarkStart w:id="46" w:name="header-n53"/>
      <w:r>
        <w:t xml:space="preserve">(3)</w:t>
      </w:r>
      <w:bookmarkEnd w:id="46"/>
    </w:p>
    <w:p>
      <w:pPr>
        <w:pStyle w:val="FirstParagraph"/>
      </w:pPr>
      <w:r>
        <w:t xml:space="preserve">It would only do (111,4) --&gt; (111,1.5)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2020-02-20T15:32:43Z</dcterms:created>
  <dcterms:modified xsi:type="dcterms:W3CDTF">2020-02-20T15:32:43Z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