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微软雅黑" w:hAnsi="微软雅黑" w:eastAsia="微软雅黑"/>
          <w:b/>
          <w:color w:val="C70019"/>
          <w:sz w:val="44"/>
        </w:rPr>
        <w:t>中车株洲电力机车有限公司</w:t>
      </w:r>
    </w:p>
    <w:p>
      <w:pPr>
        <w:jc w:val="center"/>
      </w:pPr>
      <w:r>
        <w:rPr>
          <w:rFonts w:ascii="微软雅黑" w:hAnsi="微软雅黑" w:eastAsia="微软雅黑"/>
          <w:b/>
          <w:color w:val="C70019"/>
          <w:sz w:val="52"/>
        </w:rPr>
        <w:t>数字档案室建设项目</w:t>
      </w:r>
    </w:p>
    <w:p>
      <w:pPr>
        <w:jc w:val="center"/>
      </w:pPr>
      <w:r>
        <w:rPr>
          <w:rFonts w:ascii="微软雅黑" w:hAnsi="微软雅黑" w:eastAsia="微软雅黑"/>
          <w:b/>
          <w:color w:val="C70019"/>
          <w:sz w:val="48"/>
        </w:rPr>
        <w:t>详 细 设 计 方 案</w:t>
      </w:r>
    </w:p>
    <w:p/>
    <w:p>
      <w:pPr>
        <w:jc w:val="center"/>
      </w:pPr>
      <w:r>
        <w:rPr>
          <w:rFonts w:ascii="微软雅黑" w:hAnsi="微软雅黑" w:eastAsia="微软雅黑"/>
          <w:color w:val="DA9252"/>
          <w:sz w:val="28"/>
        </w:rPr>
        <w:t>（V2.0 · 重建版）</w:t>
      </w:r>
    </w:p>
    <w:p/>
    <w:p/>
    <w:p/>
    <w:p>
      <w:pPr>
        <w:jc w:val="center"/>
      </w:pPr>
      <w:r>
        <w:rPr>
          <w:rFonts w:ascii="微软雅黑" w:hAnsi="微软雅黑" w:eastAsia="微软雅黑"/>
          <w:sz w:val="24"/>
        </w:rPr>
        <w:t>编制单位：××××（档案信息化建设团队）</w:t>
      </w:r>
    </w:p>
    <w:p>
      <w:pPr>
        <w:jc w:val="center"/>
      </w:pPr>
      <w:r>
        <w:rPr>
          <w:rFonts w:ascii="微软雅黑" w:hAnsi="微软雅黑" w:eastAsia="微软雅黑"/>
          <w:sz w:val="24"/>
        </w:rPr>
        <w:t>编制日期：2026 年 08 月</w:t>
      </w:r>
    </w:p>
    <w:p>
      <w:r>
        <w:br w:type="page"/>
      </w:r>
    </w:p>
    <w:p>
      <w:pPr>
        <w:pBdr>
          <w:bottom w:val="single" w:sz="8" w:color="C70019"/>
        </w:pBdr>
      </w:pPr>
      <w:r>
        <w:rPr>
          <w:rFonts w:ascii="微软雅黑" w:hAnsi="微软雅黑" w:eastAsia="微软雅黑"/>
          <w:b/>
          <w:color w:val="C70019"/>
          <w:sz w:val="32"/>
        </w:rPr>
        <w:t>文档说明</w:t>
      </w:r>
    </w:p>
    <w:p>
      <w:r>
        <w:rPr>
          <w:rFonts w:ascii="微软雅黑" w:hAnsi="微软雅黑" w:eastAsia="微软雅黑"/>
          <w:b w:val="0"/>
          <w:sz w:val="21"/>
        </w:rPr>
        <w:t>本方案以《档案系统建设报价单（v6.0）》所分解的全部功能为功能底座（最全的功能全集），以《公司数字档案室建设项目可行性研究报告》《企业数字档案室建设项目需求说明书》为项目背景与需求来源，并参考《集团档案管理系统总体设计方案（v1.4）》《集团档案管理系统详细功能设计方案（v1.4）》《档案接收平台深度方案论述》《中车集团数字档案馆（室）三期建设规划》《2026年协同办公业务系统—数字档案馆子系统项目建设方案》《中车数字档案馆子系统二期建设项目工作说明书》等资料编制，作为中车株洲电力机车有限公司数字档案室建设项目详细设计的纲领性文件。</w:t>
      </w:r>
    </w:p>
    <w:p>
      <w:r>
        <w:rPr>
          <w:rFonts w:ascii="微软雅黑" w:hAnsi="微软雅黑" w:eastAsia="微软雅黑"/>
          <w:b w:val="0"/>
          <w:sz w:val="21"/>
        </w:rPr>
        <w:t>本版（V2.0）相较 V1.1 的主要变化：</w:t>
      </w:r>
    </w:p>
    <w:p>
      <w:pPr>
        <w:pStyle w:val="ListBullet"/>
      </w:pPr>
      <w:r>
        <w:rPr>
          <w:rFonts w:ascii="微软雅黑" w:hAnsi="微软雅黑" w:eastAsia="微软雅黑"/>
          <w:b/>
        </w:rPr>
        <w:t xml:space="preserve">① </w:t>
      </w:r>
      <w:r>
        <w:rPr>
          <w:rFonts w:ascii="微软雅黑" w:hAnsi="微软雅黑" w:eastAsia="微软雅黑"/>
        </w:rPr>
        <w:t>以《档案系统建设报价单（v6.0）》Excel 功能分解表为功能底座，按"模块→业务需求→系统表单→系统功能"四级逐项展开详细设计，功能清单与报价单逐项对齐；</w:t>
      </w:r>
    </w:p>
    <w:p>
      <w:pPr>
        <w:pStyle w:val="ListBullet"/>
      </w:pPr>
      <w:r>
        <w:rPr>
          <w:rFonts w:ascii="微软雅黑" w:hAnsi="微软雅黑" w:eastAsia="微软雅黑"/>
          <w:b/>
        </w:rPr>
        <w:t xml:space="preserve">② </w:t>
      </w:r>
      <w:r>
        <w:rPr>
          <w:rFonts w:ascii="微软雅黑" w:hAnsi="微软雅黑" w:eastAsia="微软雅黑"/>
        </w:rPr>
        <w:t>剔除 V1.1 中误引入的与 financeWeb 演示系统相关的内容（用友抓取、双链路、门户检索等），全部内容回归中车株洲机车数字档案室建设项目本身的业务设计；</w:t>
      </w:r>
    </w:p>
    <w:p>
      <w:pPr>
        <w:pStyle w:val="ListBullet"/>
      </w:pPr>
      <w:r>
        <w:rPr>
          <w:rFonts w:ascii="微软雅黑" w:hAnsi="微软雅黑" w:eastAsia="微软雅黑"/>
          <w:b/>
        </w:rPr>
        <w:t xml:space="preserve">③ </w:t>
      </w:r>
      <w:r>
        <w:rPr>
          <w:rFonts w:ascii="微软雅黑" w:hAnsi="微软雅黑" w:eastAsia="微软雅黑"/>
        </w:rPr>
        <w:t>为每个功能域绘制了多种样式（分层架构、泳道流程、环形、金字塔、拓扑、矩阵、仪表盘等）的自绘示意图，实现图文并茂、多式多样；</w:t>
      </w:r>
    </w:p>
    <w:p>
      <w:pPr>
        <w:pStyle w:val="ListBullet"/>
      </w:pPr>
      <w:r>
        <w:rPr>
          <w:rFonts w:ascii="微软雅黑" w:hAnsi="微软雅黑" w:eastAsia="微软雅黑"/>
          <w:b/>
        </w:rPr>
        <w:t xml:space="preserve">④ </w:t>
      </w:r>
      <w:r>
        <w:rPr>
          <w:rFonts w:ascii="微软雅黑" w:hAnsi="微软雅黑" w:eastAsia="微软雅黑"/>
        </w:rPr>
        <w:t>严格遵循"资料不全则留空（待补充），不虚构内容"的原则，所有数据与表述均出自建设单位提供的资料。</w:t>
      </w:r>
    </w:p>
    <w:p>
      <w:pPr>
        <w:pBdr>
          <w:bottom w:val="single" w:sz="8" w:color="C70019"/>
        </w:pBdr>
      </w:pPr>
      <w:r>
        <w:rPr>
          <w:rFonts w:ascii="微软雅黑" w:hAnsi="微软雅黑" w:eastAsia="微软雅黑"/>
          <w:b/>
          <w:color w:val="C70019"/>
          <w:sz w:val="32"/>
        </w:rPr>
        <w:t>目  录</w:t>
      </w:r>
    </w:p>
    <w:p>
      <w:r>
        <w:rPr>
          <w:rFonts w:ascii="微软雅黑" w:hAnsi="微软雅黑" w:eastAsia="微软雅黑"/>
          <w:b w:val="0"/>
          <w:sz w:val="22"/>
        </w:rPr>
        <w:t>第1章 项目概述</w:t>
      </w:r>
    </w:p>
    <w:p>
      <w:r>
        <w:rPr>
          <w:rFonts w:ascii="微软雅黑" w:hAnsi="微软雅黑" w:eastAsia="微软雅黑"/>
          <w:b w:val="0"/>
          <w:sz w:val="22"/>
        </w:rPr>
        <w:t>第2章 总体架构设计</w:t>
      </w:r>
    </w:p>
    <w:p>
      <w:r>
        <w:rPr>
          <w:rFonts w:ascii="微软雅黑" w:hAnsi="微软雅黑" w:eastAsia="微软雅黑"/>
          <w:b w:val="0"/>
          <w:sz w:val="22"/>
        </w:rPr>
        <w:t>第3章 档案数据接收平台详细设计</w:t>
      </w:r>
    </w:p>
    <w:p>
      <w:r>
        <w:rPr>
          <w:rFonts w:ascii="微软雅黑" w:hAnsi="微软雅黑" w:eastAsia="微软雅黑"/>
          <w:b w:val="0"/>
          <w:sz w:val="22"/>
        </w:rPr>
        <w:t>第4章 档案管理平台详细设计</w:t>
      </w:r>
    </w:p>
    <w:p>
      <w:r>
        <w:rPr>
          <w:rFonts w:ascii="微软雅黑" w:hAnsi="微软雅黑" w:eastAsia="微软雅黑"/>
          <w:b w:val="0"/>
          <w:sz w:val="22"/>
        </w:rPr>
        <w:t>第5章 共享利用平台详细设计</w:t>
      </w:r>
    </w:p>
    <w:p>
      <w:r>
        <w:rPr>
          <w:rFonts w:ascii="微软雅黑" w:hAnsi="微软雅黑" w:eastAsia="微软雅黑"/>
          <w:b w:val="0"/>
          <w:sz w:val="22"/>
        </w:rPr>
        <w:t>第6章 长期保存平台详细设计</w:t>
      </w:r>
    </w:p>
    <w:p>
      <w:r>
        <w:rPr>
          <w:rFonts w:ascii="微软雅黑" w:hAnsi="微软雅黑" w:eastAsia="微软雅黑"/>
          <w:b w:val="0"/>
          <w:sz w:val="22"/>
        </w:rPr>
        <w:t>第7章 流式文档签发平台详细设计</w:t>
      </w:r>
    </w:p>
    <w:p>
      <w:r>
        <w:rPr>
          <w:rFonts w:ascii="微软雅黑" w:hAnsi="微软雅黑" w:eastAsia="微软雅黑"/>
          <w:b w:val="0"/>
          <w:sz w:val="22"/>
        </w:rPr>
        <w:t>第8章 业务系统集成与数据交互详细设计</w:t>
      </w:r>
    </w:p>
    <w:p>
      <w:r>
        <w:rPr>
          <w:rFonts w:ascii="微软雅黑" w:hAnsi="微软雅黑" w:eastAsia="微软雅黑"/>
          <w:b w:val="0"/>
          <w:sz w:val="22"/>
        </w:rPr>
        <w:t>第9章 制度规范体系设计</w:t>
      </w:r>
    </w:p>
    <w:p>
      <w:r>
        <w:rPr>
          <w:rFonts w:ascii="微软雅黑" w:hAnsi="微软雅黑" w:eastAsia="微软雅黑"/>
          <w:b w:val="0"/>
          <w:sz w:val="22"/>
        </w:rPr>
        <w:t>第10章 信息化基础设施设计</w:t>
      </w:r>
    </w:p>
    <w:p>
      <w:r>
        <w:rPr>
          <w:rFonts w:ascii="微软雅黑" w:hAnsi="微软雅黑" w:eastAsia="微软雅黑"/>
          <w:b w:val="0"/>
          <w:sz w:val="22"/>
        </w:rPr>
        <w:t>第11章 AI智能化应用设计（三期）</w:t>
      </w:r>
    </w:p>
    <w:p>
      <w:r>
        <w:rPr>
          <w:rFonts w:ascii="微软雅黑" w:hAnsi="微软雅黑" w:eastAsia="微软雅黑"/>
          <w:b w:val="0"/>
          <w:sz w:val="22"/>
        </w:rPr>
        <w:t>第12章 分期实施计划与里程碑</w:t>
      </w:r>
    </w:p>
    <w:p>
      <w:r>
        <w:rPr>
          <w:rFonts w:ascii="微软雅黑" w:hAnsi="微软雅黑" w:eastAsia="微软雅黑"/>
          <w:b w:val="0"/>
          <w:sz w:val="22"/>
        </w:rPr>
        <w:t>第13章 功能清单汇总（与报价单v6.0逐项对齐）</w:t>
      </w:r>
    </w:p>
    <w:p>
      <w:r>
        <w:rPr>
          <w:rFonts w:ascii="微软雅黑" w:hAnsi="微软雅黑" w:eastAsia="微软雅黑"/>
          <w:b w:val="0"/>
          <w:sz w:val="22"/>
        </w:rPr>
        <w:t>第14章 建设指标与效益分析</w:t>
      </w:r>
    </w:p>
    <w:p>
      <w:r>
        <w:rPr>
          <w:rFonts w:ascii="微软雅黑" w:hAnsi="微软雅黑" w:eastAsia="微软雅黑"/>
          <w:b w:val="0"/>
          <w:sz w:val="22"/>
        </w:rPr>
        <w:t>第15章 风险分析与保障措施</w:t>
      </w:r>
    </w:p>
    <w:p>
      <w:r>
        <w:rPr>
          <w:rFonts w:ascii="微软雅黑" w:hAnsi="微软雅黑" w:eastAsia="微软雅黑"/>
          <w:b w:val="0"/>
          <w:sz w:val="22"/>
        </w:rPr>
        <w:t>附录 术语缩略语</w:t>
      </w:r>
    </w:p>
    <w:p>
      <w:r>
        <w:br w:type="page"/>
      </w:r>
    </w:p>
    <w:p>
      <w:pPr>
        <w:pBdr>
          <w:bottom w:val="single" w:sz="8" w:color="C70019"/>
        </w:pBdr>
      </w:pPr>
      <w:r>
        <w:rPr>
          <w:rFonts w:ascii="微软雅黑" w:hAnsi="微软雅黑" w:eastAsia="微软雅黑"/>
          <w:b/>
          <w:color w:val="C70019"/>
          <w:sz w:val="32"/>
        </w:rPr>
        <w:t>第1章 项目概述</w:t>
      </w:r>
    </w:p>
    <w:p>
      <w:r>
        <w:rPr>
          <w:rFonts w:ascii="微软雅黑" w:hAnsi="微软雅黑" w:eastAsia="微软雅黑"/>
          <w:b/>
          <w:color w:val="00678F"/>
          <w:sz w:val="26"/>
        </w:rPr>
        <w:t>1.1 项目背景</w:t>
      </w:r>
    </w:p>
    <w:p>
      <w:r>
        <w:rPr>
          <w:rFonts w:ascii="微软雅黑" w:hAnsi="微软雅黑" w:eastAsia="微软雅黑"/>
          <w:b w:val="0"/>
          <w:sz w:val="21"/>
        </w:rPr>
        <w:t>2021年，中共中央办公厅、国务院办公厅联合印发《"十四五"全国档案事业发展规划》，明确了"档案信息化建设再上新台阶""档案工作基本数字转型"的发展目标，并将"加快数字档案馆室"建设列入主要任务。同年新修订实施的《档案法》从法律层面明确了电子文件及档案的法律效力，并增设"档案信息化建设"章节。2022年至今，国家档案局集中发布了《电子档案单套管理一般要求》《电子档案管理办法》等多项行业标准与部门规章，为电子档案管理提供了统一的规范。</w:t>
      </w:r>
    </w:p>
    <w:p>
      <w:r>
        <w:rPr>
          <w:rFonts w:ascii="微软雅黑" w:hAnsi="微软雅黑" w:eastAsia="微软雅黑"/>
          <w:b w:val="0"/>
          <w:sz w:val="21"/>
        </w:rPr>
        <w:t>在集团层面，中国中车"十四五"档案工作发展规划要求"有条件的企业要积极推进档案数字转型，加速建成企业数字档案馆（室）"。2023年召开的中国中车首届档案工作会议，明确把"档案信息化建设作为档案重点工作来抓""推动档案管理由传统载体向数字化载体转变""建立功能完备、系统完善、运行安全可靠的数字档案馆（室）"作为中车各级企业在今后较长时间内的档案工作要求。公司被中国中车列入申报国家档案局企业集团数字档案馆试点的28家拟参与试点子公司之一。</w:t>
      </w:r>
    </w:p>
    <w:p>
      <w:r>
        <w:rPr>
          <w:rFonts w:ascii="微软雅黑" w:hAnsi="微软雅黑" w:eastAsia="微软雅黑"/>
          <w:b w:val="0"/>
          <w:sz w:val="21"/>
        </w:rPr>
        <w:t>在公司层面，随着"智慧株机"建设的不断深化，大量业务系统上线使业务工作办公模式逐步无纸化，大量文件与数据存储于业务系统中，传统的实体档案管理模式已不适应公司发展需求。中车株洲电力机车有限公司目前上线运行的是清华紫光档案管理系统，系统只具备著录、挂接、检索、统计等台账功能，未与各业务系统打通，电子文件仍需打印成纸质一并移交，长期停留在"纸质+电子双套制"模式。因此，建设企业数字档案室，实现档案现代化管理，是公司档案工作发展的必然趋势。</w:t>
      </w:r>
    </w:p>
    <w:p>
      <w:r>
        <w:rPr>
          <w:rFonts w:ascii="微软雅黑" w:hAnsi="微软雅黑" w:eastAsia="微软雅黑"/>
          <w:b/>
          <w:color w:val="00678F"/>
          <w:sz w:val="26"/>
        </w:rPr>
        <w:t>1.2 建设目标</w:t>
      </w:r>
    </w:p>
    <w:p>
      <w:pPr>
        <w:pStyle w:val="ListBullet"/>
      </w:pPr>
      <w:r>
        <w:rPr>
          <w:rFonts w:ascii="微软雅黑" w:hAnsi="微软雅黑" w:eastAsia="微软雅黑"/>
          <w:b/>
        </w:rPr>
        <w:t>总体目标：</w:t>
      </w:r>
      <w:r>
        <w:rPr>
          <w:rFonts w:ascii="微软雅黑" w:hAnsi="微软雅黑" w:eastAsia="微软雅黑"/>
        </w:rPr>
        <w:t>实现公司档案工作创新发展，将公司档案工作提升至集团前列、国内一流水平，成为支撑和服务公司发展的重要力量。</w:t>
      </w:r>
    </w:p>
    <w:p>
      <w:pPr>
        <w:pStyle w:val="ListBullet"/>
      </w:pPr>
      <w:r>
        <w:rPr>
          <w:rFonts w:ascii="微软雅黑" w:hAnsi="微软雅黑" w:eastAsia="微软雅黑"/>
          <w:b/>
        </w:rPr>
        <w:t>管理目标：</w:t>
      </w:r>
      <w:r>
        <w:rPr>
          <w:rFonts w:ascii="微软雅黑" w:hAnsi="微软雅黑" w:eastAsia="微软雅黑"/>
        </w:rPr>
        <w:t>补足数字化转型的电子文件管理短板，加强凭证性保障，提升无纸化办公水平；加强"业档融合"，提高各业务文件收集能力，实现高价值文件应归尽归；推动档案资源数字化、档案管理信息化转型，实现档案工作降本、提质、增效。</w:t>
      </w:r>
    </w:p>
    <w:p>
      <w:pPr>
        <w:pStyle w:val="ListBullet"/>
      </w:pPr>
      <w:r>
        <w:rPr>
          <w:rFonts w:ascii="微软雅黑" w:hAnsi="微软雅黑" w:eastAsia="微软雅黑"/>
          <w:b/>
        </w:rPr>
        <w:t>业务目标：</w:t>
      </w:r>
      <w:r>
        <w:rPr>
          <w:rFonts w:ascii="微软雅黑" w:hAnsi="微软雅黑" w:eastAsia="微软雅黑"/>
        </w:rPr>
        <w:t>基于建设成果，向国家或地方档案行政部门申请电子档案单套管理可行性评估、数字档案室认定等，获得资质并争取挂牌，在集团内部乃至全国范围内形成示范与标杆。</w:t>
      </w:r>
    </w:p>
    <w:p>
      <w:r>
        <w:rPr>
          <w:rFonts w:ascii="微软雅黑" w:hAnsi="微软雅黑" w:eastAsia="微软雅黑"/>
          <w:b/>
          <w:color w:val="00678F"/>
          <w:sz w:val="26"/>
        </w:rPr>
        <w:t>1.3 建设范围</w:t>
      </w:r>
    </w:p>
    <w:p>
      <w:r>
        <w:rPr>
          <w:rFonts w:ascii="微软雅黑" w:hAnsi="微软雅黑" w:eastAsia="微软雅黑"/>
          <w:b w:val="0"/>
          <w:sz w:val="21"/>
        </w:rPr>
        <w:t>本项目覆盖公司本部各单位，建设内容包括：档案数据接收平台、档案管理平台、共享利用平台、长期保存平台四大业务平台（辅以独立建设的流式文档签发平台），以及与 S-hr、公司域库、苍穹云平台、中车数字档案馆子系统及一期九个业务系统的集成与数据交互。按"档案数据接收—档案管理—共享利用—长期保存"全生命周期贯通，分一期（紧迫）、二期（可暂缓）、三期（AI智能化与实体管理）滚动建设。</w:t>
      </w:r>
    </w:p>
    <w:p>
      <w:r>
        <w:rPr>
          <w:rFonts w:ascii="微软雅黑" w:hAnsi="微软雅黑" w:eastAsia="微软雅黑"/>
          <w:b/>
          <w:color w:val="00678F"/>
          <w:sz w:val="26"/>
        </w:rPr>
        <w:t>1.4 设计依据</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类别</w:t>
            </w:r>
          </w:p>
        </w:tc>
        <w:tc>
          <w:tcPr>
            <w:tcW w:type="dxa" w:w="4536"/>
            <w:shd w:val="clear" w:color="auto" w:fill="C70019"/>
          </w:tcPr>
          <w:p>
            <w:pPr>
              <w:jc w:val="center"/>
            </w:pPr>
            <w:r/>
            <w:r>
              <w:rPr>
                <w:rFonts w:ascii="微软雅黑" w:hAnsi="微软雅黑" w:eastAsia="微软雅黑"/>
                <w:b/>
                <w:color w:val="FFFFFF"/>
                <w:sz w:val="18"/>
              </w:rPr>
              <w:t>依据文件</w:t>
            </w:r>
          </w:p>
        </w:tc>
      </w:tr>
      <w:tr>
        <w:tc>
          <w:tcPr>
            <w:tcW w:type="dxa" w:w="4536"/>
          </w:tcPr>
          <w:p>
            <w:r/>
            <w:r>
              <w:rPr>
                <w:rFonts w:ascii="微软雅黑" w:hAnsi="微软雅黑" w:eastAsia="微软雅黑"/>
                <w:sz w:val="17"/>
              </w:rPr>
              <w:t>法律法规</w:t>
            </w:r>
          </w:p>
        </w:tc>
        <w:tc>
          <w:tcPr>
            <w:tcW w:type="dxa" w:w="4536"/>
          </w:tcPr>
          <w:p>
            <w:r/>
            <w:r>
              <w:rPr>
                <w:rFonts w:ascii="微软雅黑" w:hAnsi="微软雅黑" w:eastAsia="微软雅黑"/>
                <w:sz w:val="17"/>
              </w:rPr>
              <w:t>《中华人民共和国档案法》（2020修订）</w:t>
            </w:r>
          </w:p>
        </w:tc>
      </w:tr>
      <w:tr>
        <w:tc>
          <w:tcPr>
            <w:tcW w:type="dxa" w:w="4536"/>
            <w:shd w:val="clear" w:color="auto" w:fill="F2F1EE"/>
          </w:tcPr>
          <w:p>
            <w:r/>
            <w:r>
              <w:rPr>
                <w:rFonts w:ascii="微软雅黑" w:hAnsi="微软雅黑" w:eastAsia="微软雅黑"/>
                <w:sz w:val="17"/>
              </w:rPr>
              <w:t>部门规章</w:t>
            </w:r>
          </w:p>
        </w:tc>
        <w:tc>
          <w:tcPr>
            <w:tcW w:type="dxa" w:w="4536"/>
            <w:shd w:val="clear" w:color="auto" w:fill="F2F1EE"/>
          </w:tcPr>
          <w:p>
            <w:r/>
            <w:r>
              <w:rPr>
                <w:rFonts w:ascii="微软雅黑" w:hAnsi="微软雅黑" w:eastAsia="微软雅黑"/>
                <w:sz w:val="17"/>
              </w:rPr>
              <w:t>《电子档案管理办法》（国家档案局令第10号）、《机关档案管理规定》</w:t>
            </w:r>
          </w:p>
        </w:tc>
      </w:tr>
      <w:tr>
        <w:tc>
          <w:tcPr>
            <w:tcW w:type="dxa" w:w="4536"/>
          </w:tcPr>
          <w:p>
            <w:r/>
            <w:r>
              <w:rPr>
                <w:rFonts w:ascii="微软雅黑" w:hAnsi="微软雅黑" w:eastAsia="微软雅黑"/>
                <w:sz w:val="17"/>
              </w:rPr>
              <w:t>国家标准</w:t>
            </w:r>
          </w:p>
        </w:tc>
        <w:tc>
          <w:tcPr>
            <w:tcW w:type="dxa" w:w="4536"/>
          </w:tcPr>
          <w:p>
            <w:r/>
            <w:r>
              <w:rPr>
                <w:rFonts w:ascii="微软雅黑" w:hAnsi="微软雅黑" w:eastAsia="微软雅黑"/>
                <w:sz w:val="17"/>
              </w:rPr>
              <w:t>GB/T 18894-2016《电子文件归档与电子档案管理规范》、GB/T 39784-2021《电子档案管理系统通用功能要求》、DA/T 92-2022《电子档案单套管理一般要求》</w:t>
            </w:r>
          </w:p>
        </w:tc>
      </w:tr>
      <w:tr>
        <w:tc>
          <w:tcPr>
            <w:tcW w:type="dxa" w:w="4536"/>
            <w:shd w:val="clear" w:color="auto" w:fill="F2F1EE"/>
          </w:tcPr>
          <w:p>
            <w:r/>
            <w:r>
              <w:rPr>
                <w:rFonts w:ascii="微软雅黑" w:hAnsi="微软雅黑" w:eastAsia="微软雅黑"/>
                <w:sz w:val="17"/>
              </w:rPr>
              <w:t>行业标准</w:t>
            </w:r>
          </w:p>
        </w:tc>
        <w:tc>
          <w:tcPr>
            <w:tcW w:type="dxa" w:w="4536"/>
            <w:shd w:val="clear" w:color="auto" w:fill="F2F1EE"/>
          </w:tcPr>
          <w:p>
            <w:r/>
            <w:r>
              <w:rPr>
                <w:rFonts w:ascii="微软雅黑" w:hAnsi="微软雅黑" w:eastAsia="微软雅黑"/>
                <w:sz w:val="17"/>
              </w:rPr>
              <w:t>DA/T 46-2009《文书类电子文件元数据方案》、DA/T 48-2009《基于XML的电子文件封装规范》、DA/T 54-2014《照片类电子档案元数据方案》、DA/T 63-2017《录音录像类电子档案元数据方案》、DA/T 80-2019《政府网站网页归档指南》</w:t>
            </w:r>
          </w:p>
        </w:tc>
      </w:tr>
      <w:tr>
        <w:tc>
          <w:tcPr>
            <w:tcW w:type="dxa" w:w="4536"/>
          </w:tcPr>
          <w:p>
            <w:r/>
            <w:r>
              <w:rPr>
                <w:rFonts w:ascii="微软雅黑" w:hAnsi="微软雅黑" w:eastAsia="微软雅黑"/>
                <w:sz w:val="17"/>
              </w:rPr>
              <w:t>集团要求</w:t>
            </w:r>
          </w:p>
        </w:tc>
        <w:tc>
          <w:tcPr>
            <w:tcW w:type="dxa" w:w="4536"/>
          </w:tcPr>
          <w:p>
            <w:r/>
            <w:r>
              <w:rPr>
                <w:rFonts w:ascii="微软雅黑" w:hAnsi="微软雅黑" w:eastAsia="微软雅黑"/>
                <w:sz w:val="17"/>
              </w:rPr>
              <w:t>《中国中车"十四五"档案工作发展规划》、中车集团数字档案馆（室）建设相关规范</w:t>
            </w:r>
          </w:p>
        </w:tc>
      </w:tr>
      <w:tr>
        <w:tc>
          <w:tcPr>
            <w:tcW w:type="dxa" w:w="4536"/>
            <w:shd w:val="clear" w:color="auto" w:fill="F2F1EE"/>
          </w:tcPr>
          <w:p>
            <w:r/>
            <w:r>
              <w:rPr>
                <w:rFonts w:ascii="微软雅黑" w:hAnsi="微软雅黑" w:eastAsia="微软雅黑"/>
                <w:sz w:val="17"/>
              </w:rPr>
              <w:t>项目文件</w:t>
            </w:r>
          </w:p>
        </w:tc>
        <w:tc>
          <w:tcPr>
            <w:tcW w:type="dxa" w:w="4536"/>
            <w:shd w:val="clear" w:color="auto" w:fill="F2F1EE"/>
          </w:tcPr>
          <w:p>
            <w:r/>
            <w:r>
              <w:rPr>
                <w:rFonts w:ascii="微软雅黑" w:hAnsi="微软雅黑" w:eastAsia="微软雅黑"/>
                <w:sz w:val="17"/>
              </w:rPr>
              <w:t>《公司数字档案室建设项目可行性研究报告》《企业数字档案室建设项目需求说明书》《档案系统建设报价单（v6.0）》</w:t>
            </w:r>
          </w:p>
        </w:tc>
      </w:tr>
    </w:tbl>
    <w:p/>
    <w:p>
      <w:pPr>
        <w:pBdr>
          <w:bottom w:val="single" w:sz="8" w:color="C70019"/>
        </w:pBdr>
      </w:pPr>
      <w:r>
        <w:rPr>
          <w:rFonts w:ascii="微软雅黑" w:hAnsi="微软雅黑" w:eastAsia="微软雅黑"/>
          <w:b/>
          <w:color w:val="C70019"/>
          <w:sz w:val="32"/>
        </w:rPr>
        <w:t>第2章 总体架构设计</w:t>
      </w:r>
    </w:p>
    <w:p>
      <w:r>
        <w:rPr>
          <w:rFonts w:ascii="微软雅黑" w:hAnsi="微软雅黑" w:eastAsia="微软雅黑"/>
          <w:b/>
          <w:color w:val="00678F"/>
          <w:sz w:val="26"/>
        </w:rPr>
        <w:t>2.1 设计方法论（5A）</w:t>
      </w:r>
    </w:p>
    <w:p>
      <w:r>
        <w:rPr>
          <w:rFonts w:ascii="微软雅黑" w:hAnsi="微软雅黑" w:eastAsia="微软雅黑"/>
          <w:b w:val="0"/>
          <w:sz w:val="21"/>
        </w:rPr>
        <w:t>本项目借鉴中车集团"4A/5A"架构方法论，从业务架构、应用架构、技术架构、数据架构、安全架构五个维度展开设计，保证业务与技术的对齐、数据与流程的贯通。</w:t>
      </w:r>
    </w:p>
    <w:p>
      <w:pPr>
        <w:jc w:val="center"/>
      </w:pPr>
      <w:r>
        <w:drawing>
          <wp:inline xmlns:a="http://schemas.openxmlformats.org/drawingml/2006/main" xmlns:pic="http://schemas.openxmlformats.org/drawingml/2006/picture">
            <wp:extent cx="5580000" cy="2503028"/>
            <wp:docPr id="1" name="Picture 1"/>
            <wp:cNvGraphicFramePr>
              <a:graphicFrameLocks noChangeAspect="1"/>
            </wp:cNvGraphicFramePr>
            <a:graphic>
              <a:graphicData uri="http://schemas.openxmlformats.org/drawingml/2006/picture">
                <pic:pic>
                  <pic:nvPicPr>
                    <pic:cNvPr id="0" name="01-总体架构图.png"/>
                    <pic:cNvPicPr/>
                  </pic:nvPicPr>
                  <pic:blipFill>
                    <a:blip r:embed="rId9"/>
                    <a:stretch>
                      <a:fillRect/>
                    </a:stretch>
                  </pic:blipFill>
                  <pic:spPr>
                    <a:xfrm>
                      <a:off x="0" y="0"/>
                      <a:ext cx="5580000" cy="2503028"/>
                    </a:xfrm>
                    <a:prstGeom prst="rect"/>
                  </pic:spPr>
                </pic:pic>
              </a:graphicData>
            </a:graphic>
          </wp:inline>
        </w:drawing>
      </w:r>
    </w:p>
    <w:p>
      <w:pPr>
        <w:jc w:val="center"/>
      </w:pPr>
      <w:r>
        <w:rPr>
          <w:rFonts w:ascii="微软雅黑" w:hAnsi="微软雅黑" w:eastAsia="微软雅黑"/>
          <w:color w:val="888888"/>
          <w:sz w:val="18"/>
        </w:rPr>
        <w:t>图2-1 项目总体架构图</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架构域</w:t>
            </w:r>
          </w:p>
        </w:tc>
        <w:tc>
          <w:tcPr>
            <w:tcW w:type="dxa" w:w="4536"/>
            <w:shd w:val="clear" w:color="auto" w:fill="C70019"/>
          </w:tcPr>
          <w:p>
            <w:pPr>
              <w:jc w:val="center"/>
            </w:pPr>
            <w:r/>
            <w:r>
              <w:rPr>
                <w:rFonts w:ascii="微软雅黑" w:hAnsi="微软雅黑" w:eastAsia="微软雅黑"/>
                <w:b/>
                <w:color w:val="FFFFFF"/>
                <w:sz w:val="18"/>
              </w:rPr>
              <w:t>设计要点</w:t>
            </w:r>
          </w:p>
        </w:tc>
      </w:tr>
      <w:tr>
        <w:tc>
          <w:tcPr>
            <w:tcW w:type="dxa" w:w="4536"/>
          </w:tcPr>
          <w:p>
            <w:r/>
            <w:r>
              <w:rPr>
                <w:rFonts w:ascii="微软雅黑" w:hAnsi="微软雅黑" w:eastAsia="微软雅黑"/>
                <w:sz w:val="17"/>
              </w:rPr>
              <w:t>业务架构（BA）</w:t>
            </w:r>
          </w:p>
        </w:tc>
        <w:tc>
          <w:tcPr>
            <w:tcW w:type="dxa" w:w="4536"/>
          </w:tcPr>
          <w:p>
            <w:r/>
            <w:r>
              <w:rPr>
                <w:rFonts w:ascii="微软雅黑" w:hAnsi="微软雅黑" w:eastAsia="微软雅黑"/>
                <w:sz w:val="17"/>
              </w:rPr>
              <w:t>围绕档案工作收集、整理、保管、鉴定、统计、检索、利用、编研八大环节，梳理公司档案全生命周期业务流，覆盖普通档案利用与人事档案利用双流程</w:t>
            </w:r>
          </w:p>
        </w:tc>
      </w:tr>
      <w:tr>
        <w:tc>
          <w:tcPr>
            <w:tcW w:type="dxa" w:w="4536"/>
            <w:shd w:val="clear" w:color="auto" w:fill="F2F1EE"/>
          </w:tcPr>
          <w:p>
            <w:r/>
            <w:r>
              <w:rPr>
                <w:rFonts w:ascii="微软雅黑" w:hAnsi="微软雅黑" w:eastAsia="微软雅黑"/>
                <w:sz w:val="17"/>
              </w:rPr>
              <w:t>应用架构（AA）</w:t>
            </w:r>
          </w:p>
        </w:tc>
        <w:tc>
          <w:tcPr>
            <w:tcW w:type="dxa" w:w="4536"/>
            <w:shd w:val="clear" w:color="auto" w:fill="F2F1EE"/>
          </w:tcPr>
          <w:p>
            <w:r/>
            <w:r>
              <w:rPr>
                <w:rFonts w:ascii="微软雅黑" w:hAnsi="微软雅黑" w:eastAsia="微软雅黑"/>
                <w:sz w:val="17"/>
              </w:rPr>
              <w:t>以档案数据接收、档案管理、共享利用、长期保存四平台＋流式文档签发平台承载业务，按模块化、前后台分离组织应用</w:t>
            </w:r>
          </w:p>
        </w:tc>
      </w:tr>
      <w:tr>
        <w:tc>
          <w:tcPr>
            <w:tcW w:type="dxa" w:w="4536"/>
          </w:tcPr>
          <w:p>
            <w:r/>
            <w:r>
              <w:rPr>
                <w:rFonts w:ascii="微软雅黑" w:hAnsi="微软雅黑" w:eastAsia="微软雅黑"/>
                <w:sz w:val="17"/>
              </w:rPr>
              <w:t>技术架构（TA）</w:t>
            </w:r>
          </w:p>
        </w:tc>
        <w:tc>
          <w:tcPr>
            <w:tcW w:type="dxa" w:w="4536"/>
          </w:tcPr>
          <w:p>
            <w:r/>
            <w:r>
              <w:rPr>
                <w:rFonts w:ascii="微软雅黑" w:hAnsi="微软雅黑" w:eastAsia="微软雅黑"/>
                <w:sz w:val="17"/>
              </w:rPr>
              <w:t>信创技术栈（国产操作系统/数据库/中间件/浏览器），前后台分离部署，容器化，分布式检索与负载均衡</w:t>
            </w:r>
          </w:p>
        </w:tc>
      </w:tr>
      <w:tr>
        <w:tc>
          <w:tcPr>
            <w:tcW w:type="dxa" w:w="4536"/>
            <w:shd w:val="clear" w:color="auto" w:fill="F2F1EE"/>
          </w:tcPr>
          <w:p>
            <w:r/>
            <w:r>
              <w:rPr>
                <w:rFonts w:ascii="微软雅黑" w:hAnsi="微软雅黑" w:eastAsia="微软雅黑"/>
                <w:sz w:val="17"/>
              </w:rPr>
              <w:t>数据架构（DA）</w:t>
            </w:r>
          </w:p>
        </w:tc>
        <w:tc>
          <w:tcPr>
            <w:tcW w:type="dxa" w:w="4536"/>
            <w:shd w:val="clear" w:color="auto" w:fill="F2F1EE"/>
          </w:tcPr>
          <w:p>
            <w:r/>
            <w:r>
              <w:rPr>
                <w:rFonts w:ascii="微软雅黑" w:hAnsi="微软雅黑" w:eastAsia="微软雅黑"/>
                <w:sz w:val="17"/>
              </w:rPr>
              <w:t>全过程元数据管理、四性检测数据、归档信息包（AIP）封装、磁光电混合存储与长期保存策略</w:t>
            </w:r>
          </w:p>
        </w:tc>
      </w:tr>
      <w:tr>
        <w:tc>
          <w:tcPr>
            <w:tcW w:type="dxa" w:w="4536"/>
          </w:tcPr>
          <w:p>
            <w:r/>
            <w:r>
              <w:rPr>
                <w:rFonts w:ascii="微软雅黑" w:hAnsi="微软雅黑" w:eastAsia="微软雅黑"/>
                <w:sz w:val="17"/>
              </w:rPr>
              <w:t>安全架构（SA）</w:t>
            </w:r>
          </w:p>
        </w:tc>
        <w:tc>
          <w:tcPr>
            <w:tcW w:type="dxa" w:w="4536"/>
          </w:tcPr>
          <w:p>
            <w:r/>
            <w:r>
              <w:rPr>
                <w:rFonts w:ascii="微软雅黑" w:hAnsi="微软雅黑" w:eastAsia="微软雅黑"/>
                <w:sz w:val="17"/>
              </w:rPr>
              <w:t>管理、技术、运行三位一体安全保密体系，等保二级，"三员分立"，三级权限管控，水印防扩散</w:t>
            </w:r>
          </w:p>
        </w:tc>
      </w:tr>
    </w:tbl>
    <w:p/>
    <w:p>
      <w:r>
        <w:rPr>
          <w:rFonts w:ascii="微软雅黑" w:hAnsi="微软雅黑" w:eastAsia="微软雅黑"/>
          <w:b/>
          <w:color w:val="00678F"/>
          <w:sz w:val="26"/>
        </w:rPr>
        <w:t>2.2 总体架构</w:t>
      </w:r>
    </w:p>
    <w:p>
      <w:r>
        <w:rPr>
          <w:rFonts w:ascii="微软雅黑" w:hAnsi="微软雅黑" w:eastAsia="微软雅黑"/>
          <w:b w:val="0"/>
          <w:sz w:val="21"/>
        </w:rPr>
        <w:t>按中车集团统一的多平台架构，本项目应用系统由四个业务平台共同实现，辅以独立建设的流式文档签发平台。</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平台</w:t>
            </w:r>
          </w:p>
        </w:tc>
        <w:tc>
          <w:tcPr>
            <w:tcW w:type="dxa" w:w="3024"/>
            <w:shd w:val="clear" w:color="auto" w:fill="C70019"/>
          </w:tcPr>
          <w:p>
            <w:pPr>
              <w:jc w:val="center"/>
            </w:pPr>
            <w:r/>
            <w:r>
              <w:rPr>
                <w:rFonts w:ascii="微软雅黑" w:hAnsi="微软雅黑" w:eastAsia="微软雅黑"/>
                <w:b/>
                <w:color w:val="FFFFFF"/>
                <w:sz w:val="18"/>
              </w:rPr>
              <w:t>定位</w:t>
            </w:r>
          </w:p>
        </w:tc>
        <w:tc>
          <w:tcPr>
            <w:tcW w:type="dxa" w:w="3024"/>
            <w:shd w:val="clear" w:color="auto" w:fill="C70019"/>
          </w:tcPr>
          <w:p>
            <w:pPr>
              <w:jc w:val="center"/>
            </w:pPr>
            <w:r/>
            <w:r>
              <w:rPr>
                <w:rFonts w:ascii="微软雅黑" w:hAnsi="微软雅黑" w:eastAsia="微软雅黑"/>
                <w:b/>
                <w:color w:val="FFFFFF"/>
                <w:sz w:val="18"/>
              </w:rPr>
              <w:t>核心能力</w:t>
            </w:r>
          </w:p>
        </w:tc>
      </w:tr>
      <w:tr>
        <w:tc>
          <w:tcPr>
            <w:tcW w:type="dxa" w:w="3024"/>
          </w:tcPr>
          <w:p>
            <w:r/>
            <w:r>
              <w:rPr>
                <w:rFonts w:ascii="微软雅黑" w:hAnsi="微软雅黑" w:eastAsia="微软雅黑"/>
                <w:sz w:val="17"/>
              </w:rPr>
              <w:t>档案数据接收平台</w:t>
            </w:r>
          </w:p>
        </w:tc>
        <w:tc>
          <w:tcPr>
            <w:tcW w:type="dxa" w:w="3024"/>
          </w:tcPr>
          <w:p>
            <w:r/>
            <w:r>
              <w:rPr>
                <w:rFonts w:ascii="微软雅黑" w:hAnsi="微软雅黑" w:eastAsia="微软雅黑"/>
                <w:sz w:val="17"/>
              </w:rPr>
              <w:t>全源档案资源的规范接收与整理编目</w:t>
            </w:r>
          </w:p>
        </w:tc>
        <w:tc>
          <w:tcPr>
            <w:tcW w:type="dxa" w:w="3024"/>
          </w:tcPr>
          <w:p>
            <w:r/>
            <w:r>
              <w:rPr>
                <w:rFonts w:ascii="微软雅黑" w:hAnsi="微软雅黑" w:eastAsia="微软雅黑"/>
                <w:sz w:val="17"/>
              </w:rPr>
              <w:t>电子文件归档、数据捕获、"四性"检测、自动分类、监控统计、接口配置；含"档案接收平台（业务系统自动归档接入层）"，承担业务系统自动归档采集</w:t>
            </w:r>
          </w:p>
        </w:tc>
      </w:tr>
      <w:tr>
        <w:tc>
          <w:tcPr>
            <w:tcW w:type="dxa" w:w="3024"/>
            <w:shd w:val="clear" w:color="auto" w:fill="F2F1EE"/>
          </w:tcPr>
          <w:p>
            <w:r/>
            <w:r>
              <w:rPr>
                <w:rFonts w:ascii="微软雅黑" w:hAnsi="微软雅黑" w:eastAsia="微软雅黑"/>
                <w:sz w:val="17"/>
              </w:rPr>
              <w:t>档案管理平台</w:t>
            </w:r>
          </w:p>
        </w:tc>
        <w:tc>
          <w:tcPr>
            <w:tcW w:type="dxa" w:w="3024"/>
            <w:shd w:val="clear" w:color="auto" w:fill="F2F1EE"/>
          </w:tcPr>
          <w:p>
            <w:r/>
            <w:r>
              <w:rPr>
                <w:rFonts w:ascii="微软雅黑" w:hAnsi="微软雅黑" w:eastAsia="微软雅黑"/>
                <w:sz w:val="17"/>
              </w:rPr>
              <w:t>在库档案的全周期精细化管理</w:t>
            </w:r>
          </w:p>
        </w:tc>
        <w:tc>
          <w:tcPr>
            <w:tcW w:type="dxa" w:w="3024"/>
            <w:shd w:val="clear" w:color="auto" w:fill="F2F1EE"/>
          </w:tcPr>
          <w:p>
            <w:r/>
            <w:r>
              <w:rPr>
                <w:rFonts w:ascii="微软雅黑" w:hAnsi="微软雅黑" w:eastAsia="微软雅黑"/>
                <w:sz w:val="17"/>
              </w:rPr>
              <w:t>收集、管理、利用、统计、系统配置五大模块；OCR、语音转文字、虚拟库房等辅助能力</w:t>
            </w:r>
          </w:p>
        </w:tc>
      </w:tr>
      <w:tr>
        <w:tc>
          <w:tcPr>
            <w:tcW w:type="dxa" w:w="3024"/>
          </w:tcPr>
          <w:p>
            <w:r/>
            <w:r>
              <w:rPr>
                <w:rFonts w:ascii="微软雅黑" w:hAnsi="微软雅黑" w:eastAsia="微软雅黑"/>
                <w:sz w:val="17"/>
              </w:rPr>
              <w:t>共享利用平台</w:t>
            </w:r>
          </w:p>
        </w:tc>
        <w:tc>
          <w:tcPr>
            <w:tcW w:type="dxa" w:w="3024"/>
          </w:tcPr>
          <w:p>
            <w:r/>
            <w:r>
              <w:rPr>
                <w:rFonts w:ascii="微软雅黑" w:hAnsi="微软雅黑" w:eastAsia="微软雅黑"/>
                <w:sz w:val="17"/>
              </w:rPr>
              <w:t>面向全公司的档案检索与利用服务</w:t>
            </w:r>
          </w:p>
        </w:tc>
        <w:tc>
          <w:tcPr>
            <w:tcW w:type="dxa" w:w="3024"/>
          </w:tcPr>
          <w:p>
            <w:r/>
            <w:r>
              <w:rPr>
                <w:rFonts w:ascii="微软雅黑" w:hAnsi="微软雅黑" w:eastAsia="微软雅黑"/>
                <w:sz w:val="17"/>
              </w:rPr>
              <w:t>智能检索、档案借阅、权限管理、流程审批四条管线；普通/人事利用双流程</w:t>
            </w:r>
          </w:p>
        </w:tc>
      </w:tr>
      <w:tr>
        <w:tc>
          <w:tcPr>
            <w:tcW w:type="dxa" w:w="3024"/>
            <w:shd w:val="clear" w:color="auto" w:fill="F2F1EE"/>
          </w:tcPr>
          <w:p>
            <w:r/>
            <w:r>
              <w:rPr>
                <w:rFonts w:ascii="微软雅黑" w:hAnsi="微软雅黑" w:eastAsia="微软雅黑"/>
                <w:sz w:val="17"/>
              </w:rPr>
              <w:t>长期保存平台</w:t>
            </w:r>
          </w:p>
        </w:tc>
        <w:tc>
          <w:tcPr>
            <w:tcW w:type="dxa" w:w="3024"/>
            <w:shd w:val="clear" w:color="auto" w:fill="F2F1EE"/>
          </w:tcPr>
          <w:p>
            <w:r/>
            <w:r>
              <w:rPr>
                <w:rFonts w:ascii="微软雅黑" w:hAnsi="微软雅黑" w:eastAsia="微软雅黑"/>
                <w:sz w:val="17"/>
              </w:rPr>
              <w:t>档案数字资源的可靠长久保存</w:t>
            </w:r>
          </w:p>
        </w:tc>
        <w:tc>
          <w:tcPr>
            <w:tcW w:type="dxa" w:w="3024"/>
            <w:shd w:val="clear" w:color="auto" w:fill="F2F1EE"/>
          </w:tcPr>
          <w:p>
            <w:r/>
            <w:r>
              <w:rPr>
                <w:rFonts w:ascii="微软雅黑" w:hAnsi="微软雅黑" w:eastAsia="微软雅黑"/>
                <w:sz w:val="17"/>
              </w:rPr>
              <w:t>文件生成、离线存储、在线存储、档案恢复四段能力；"在线＋离线＋第三方"协同保存</w:t>
            </w:r>
          </w:p>
        </w:tc>
      </w:tr>
      <w:tr>
        <w:tc>
          <w:tcPr>
            <w:tcW w:type="dxa" w:w="3024"/>
          </w:tcPr>
          <w:p>
            <w:r/>
            <w:r>
              <w:rPr>
                <w:rFonts w:ascii="微软雅黑" w:hAnsi="微软雅黑" w:eastAsia="微软雅黑"/>
                <w:sz w:val="17"/>
              </w:rPr>
              <w:t>流式文档签发平台</w:t>
            </w:r>
          </w:p>
        </w:tc>
        <w:tc>
          <w:tcPr>
            <w:tcW w:type="dxa" w:w="3024"/>
          </w:tcPr>
          <w:p>
            <w:r/>
            <w:r>
              <w:rPr>
                <w:rFonts w:ascii="微软雅黑" w:hAnsi="微软雅黑" w:eastAsia="微软雅黑"/>
                <w:sz w:val="17"/>
              </w:rPr>
              <w:t>无业务系统支撑文件的在线成文与签发（建议自建）</w:t>
            </w:r>
          </w:p>
        </w:tc>
        <w:tc>
          <w:tcPr>
            <w:tcW w:type="dxa" w:w="3024"/>
          </w:tcPr>
          <w:p>
            <w:r/>
            <w:r>
              <w:rPr>
                <w:rFonts w:ascii="微软雅黑" w:hAnsi="微软雅黑" w:eastAsia="微软雅黑"/>
                <w:sz w:val="17"/>
              </w:rPr>
              <w:t>流式文档签发、签到签收、任务派发、验真归档</w:t>
            </w:r>
          </w:p>
        </w:tc>
      </w:tr>
    </w:tbl>
    <w:p/>
    <w:p>
      <w:r>
        <w:rPr>
          <w:rFonts w:ascii="微软雅黑" w:hAnsi="微软雅黑" w:eastAsia="微软雅黑"/>
          <w:b/>
          <w:color w:val="00678F"/>
          <w:sz w:val="26"/>
        </w:rPr>
        <w:t>2.3 业务架构</w:t>
      </w:r>
    </w:p>
    <w:p>
      <w:r>
        <w:rPr>
          <w:rFonts w:ascii="微软雅黑" w:hAnsi="微软雅黑" w:eastAsia="微软雅黑"/>
          <w:b w:val="0"/>
          <w:sz w:val="21"/>
        </w:rPr>
        <w:t>业务流程按"档案数据接收平台（收得进、理得清）→档案管理平台（管得准）→共享利用平台（用得好）→长期保存平台（存得住）"贯通。档案收集端到端流程为"D3-20-1 档案生命周期管理"。</w:t>
      </w:r>
    </w:p>
    <w:p>
      <w:pPr>
        <w:jc w:val="center"/>
      </w:pPr>
      <w:r>
        <w:drawing>
          <wp:inline xmlns:a="http://schemas.openxmlformats.org/drawingml/2006/main" xmlns:pic="http://schemas.openxmlformats.org/drawingml/2006/picture">
            <wp:extent cx="5580000" cy="2411357"/>
            <wp:docPr id="2" name="Picture 2"/>
            <wp:cNvGraphicFramePr>
              <a:graphicFrameLocks noChangeAspect="1"/>
            </wp:cNvGraphicFramePr>
            <a:graphic>
              <a:graphicData uri="http://schemas.openxmlformats.org/drawingml/2006/picture">
                <pic:pic>
                  <pic:nvPicPr>
                    <pic:cNvPr id="0" name="02-业务架构图.png"/>
                    <pic:cNvPicPr/>
                  </pic:nvPicPr>
                  <pic:blipFill>
                    <a:blip r:embed="rId10"/>
                    <a:stretch>
                      <a:fillRect/>
                    </a:stretch>
                  </pic:blipFill>
                  <pic:spPr>
                    <a:xfrm>
                      <a:off x="0" y="0"/>
                      <a:ext cx="5580000" cy="2411357"/>
                    </a:xfrm>
                    <a:prstGeom prst="rect"/>
                  </pic:spPr>
                </pic:pic>
              </a:graphicData>
            </a:graphic>
          </wp:inline>
        </w:drawing>
      </w:r>
    </w:p>
    <w:p>
      <w:pPr>
        <w:jc w:val="center"/>
      </w:pPr>
      <w:r>
        <w:rPr>
          <w:rFonts w:ascii="微软雅黑" w:hAnsi="微软雅黑" w:eastAsia="微软雅黑"/>
          <w:color w:val="888888"/>
          <w:sz w:val="18"/>
        </w:rPr>
        <w:t>图2-2 档案全生命周期业务架构</w:t>
      </w:r>
    </w:p>
    <w:p>
      <w:r>
        <w:rPr>
          <w:rFonts w:ascii="微软雅黑" w:hAnsi="微软雅黑" w:eastAsia="微软雅黑"/>
          <w:b/>
          <w:color w:val="00678F"/>
          <w:sz w:val="26"/>
        </w:rPr>
        <w:t>2.4 数据架构</w:t>
      </w:r>
    </w:p>
    <w:p>
      <w:r>
        <w:rPr>
          <w:rFonts w:ascii="微软雅黑" w:hAnsi="微软雅黑" w:eastAsia="微软雅黑"/>
          <w:b w:val="0"/>
          <w:sz w:val="21"/>
        </w:rPr>
        <w:t>数据架构以"归档信息包（AIP）"为核心对象，按 DA/T 48-2009 封装"电子文件＋元数据＋检测报告"，覆盖元数据（管理、内容、形式、技术、过程五维）、四性检测数据、管理过程记录（格式转换、迁移、鉴定、销毁、备份恢复等），并纳入审计跟踪信息。</w:t>
      </w:r>
    </w:p>
    <w:p>
      <w:pPr>
        <w:jc w:val="center"/>
      </w:pPr>
      <w:r>
        <w:drawing>
          <wp:inline xmlns:a="http://schemas.openxmlformats.org/drawingml/2006/main" xmlns:pic="http://schemas.openxmlformats.org/drawingml/2006/picture">
            <wp:extent cx="5580000" cy="2582743"/>
            <wp:docPr id="3" name="Picture 3"/>
            <wp:cNvGraphicFramePr>
              <a:graphicFrameLocks noChangeAspect="1"/>
            </wp:cNvGraphicFramePr>
            <a:graphic>
              <a:graphicData uri="http://schemas.openxmlformats.org/drawingml/2006/picture">
                <pic:pic>
                  <pic:nvPicPr>
                    <pic:cNvPr id="0" name="03-数据架构图.png"/>
                    <pic:cNvPicPr/>
                  </pic:nvPicPr>
                  <pic:blipFill>
                    <a:blip r:embed="rId11"/>
                    <a:stretch>
                      <a:fillRect/>
                    </a:stretch>
                  </pic:blipFill>
                  <pic:spPr>
                    <a:xfrm>
                      <a:off x="0" y="0"/>
                      <a:ext cx="5580000" cy="2582743"/>
                    </a:xfrm>
                    <a:prstGeom prst="rect"/>
                  </pic:spPr>
                </pic:pic>
              </a:graphicData>
            </a:graphic>
          </wp:inline>
        </w:drawing>
      </w:r>
    </w:p>
    <w:p>
      <w:pPr>
        <w:jc w:val="center"/>
      </w:pPr>
      <w:r>
        <w:rPr>
          <w:rFonts w:ascii="微软雅黑" w:hAnsi="微软雅黑" w:eastAsia="微软雅黑"/>
          <w:color w:val="888888"/>
          <w:sz w:val="18"/>
        </w:rPr>
        <w:t>图2-3 归档信息包（AIP）数据模型</w:t>
      </w:r>
    </w:p>
    <w:p>
      <w:r>
        <w:rPr>
          <w:rFonts w:ascii="微软雅黑" w:hAnsi="微软雅黑" w:eastAsia="微软雅黑"/>
          <w:b/>
          <w:color w:val="00678F"/>
          <w:sz w:val="26"/>
        </w:rPr>
        <w:t>2.5 部署架构</w:t>
      </w:r>
    </w:p>
    <w:p>
      <w:r>
        <w:rPr>
          <w:rFonts w:ascii="微软雅黑" w:hAnsi="微软雅黑" w:eastAsia="微软雅黑"/>
          <w:b w:val="0"/>
          <w:sz w:val="21"/>
        </w:rPr>
        <w:t>前后台分离部署：前台检索利用/后台档案管理，独立集群、独立网络环境、独立安全策略；应用服务器、检索服务器分布式部署、负载均衡，数据库主从、读写分离。</w:t>
      </w:r>
    </w:p>
    <w:p>
      <w:pPr>
        <w:jc w:val="center"/>
      </w:pPr>
      <w:r>
        <w:drawing>
          <wp:inline xmlns:a="http://schemas.openxmlformats.org/drawingml/2006/main" xmlns:pic="http://schemas.openxmlformats.org/drawingml/2006/picture">
            <wp:extent cx="5580000" cy="2004814"/>
            <wp:docPr id="4" name="Picture 4"/>
            <wp:cNvGraphicFramePr>
              <a:graphicFrameLocks noChangeAspect="1"/>
            </wp:cNvGraphicFramePr>
            <a:graphic>
              <a:graphicData uri="http://schemas.openxmlformats.org/drawingml/2006/picture">
                <pic:pic>
                  <pic:nvPicPr>
                    <pic:cNvPr id="0" name="04-部署架构图.png"/>
                    <pic:cNvPicPr/>
                  </pic:nvPicPr>
                  <pic:blipFill>
                    <a:blip r:embed="rId12"/>
                    <a:stretch>
                      <a:fillRect/>
                    </a:stretch>
                  </pic:blipFill>
                  <pic:spPr>
                    <a:xfrm>
                      <a:off x="0" y="0"/>
                      <a:ext cx="5580000" cy="2004814"/>
                    </a:xfrm>
                    <a:prstGeom prst="rect"/>
                  </pic:spPr>
                </pic:pic>
              </a:graphicData>
            </a:graphic>
          </wp:inline>
        </w:drawing>
      </w:r>
    </w:p>
    <w:p>
      <w:pPr>
        <w:jc w:val="center"/>
      </w:pPr>
      <w:r>
        <w:rPr>
          <w:rFonts w:ascii="微软雅黑" w:hAnsi="微软雅黑" w:eastAsia="微软雅黑"/>
          <w:color w:val="888888"/>
          <w:sz w:val="18"/>
        </w:rPr>
        <w:t>图2-4 部署架构图</w:t>
      </w:r>
    </w:p>
    <w:p>
      <w:r>
        <w:rPr>
          <w:rFonts w:ascii="微软雅黑" w:hAnsi="微软雅黑" w:eastAsia="微软雅黑"/>
          <w:b/>
          <w:color w:val="00678F"/>
          <w:sz w:val="26"/>
        </w:rPr>
        <w:t>2.6 安全架构</w:t>
      </w:r>
    </w:p>
    <w:p>
      <w:r>
        <w:rPr>
          <w:rFonts w:ascii="微软雅黑" w:hAnsi="微软雅黑" w:eastAsia="微软雅黑"/>
          <w:b w:val="0"/>
          <w:sz w:val="21"/>
        </w:rPr>
        <w:t>按等级保护与涉密分级保护要求建设，建立管理、技术、运行三位一体的安全保密体系。</w:t>
      </w:r>
    </w:p>
    <w:p>
      <w:pPr>
        <w:jc w:val="center"/>
      </w:pPr>
      <w:r>
        <w:drawing>
          <wp:inline xmlns:a="http://schemas.openxmlformats.org/drawingml/2006/main" xmlns:pic="http://schemas.openxmlformats.org/drawingml/2006/picture">
            <wp:extent cx="5580000" cy="2347586"/>
            <wp:docPr id="5" name="Picture 5"/>
            <wp:cNvGraphicFramePr>
              <a:graphicFrameLocks noChangeAspect="1"/>
            </wp:cNvGraphicFramePr>
            <a:graphic>
              <a:graphicData uri="http://schemas.openxmlformats.org/drawingml/2006/picture">
                <pic:pic>
                  <pic:nvPicPr>
                    <pic:cNvPr id="0" name="05-安全架构图.png"/>
                    <pic:cNvPicPr/>
                  </pic:nvPicPr>
                  <pic:blipFill>
                    <a:blip r:embed="rId13"/>
                    <a:stretch>
                      <a:fillRect/>
                    </a:stretch>
                  </pic:blipFill>
                  <pic:spPr>
                    <a:xfrm>
                      <a:off x="0" y="0"/>
                      <a:ext cx="5580000" cy="2347586"/>
                    </a:xfrm>
                    <a:prstGeom prst="rect"/>
                  </pic:spPr>
                </pic:pic>
              </a:graphicData>
            </a:graphic>
          </wp:inline>
        </w:drawing>
      </w:r>
    </w:p>
    <w:p>
      <w:pPr>
        <w:jc w:val="center"/>
      </w:pPr>
      <w:r>
        <w:rPr>
          <w:rFonts w:ascii="微软雅黑" w:hAnsi="微软雅黑" w:eastAsia="微软雅黑"/>
          <w:color w:val="888888"/>
          <w:sz w:val="18"/>
        </w:rPr>
        <w:t>图2-5 安全保密体系架构</w:t>
      </w:r>
    </w:p>
    <w:p>
      <w:r>
        <w:rPr>
          <w:rFonts w:ascii="微软雅黑" w:hAnsi="微软雅黑" w:eastAsia="微软雅黑"/>
          <w:b/>
          <w:sz w:val="21"/>
        </w:rPr>
        <w:t>安全要点：</w:t>
      </w:r>
    </w:p>
    <w:p>
      <w:pPr>
        <w:pStyle w:val="ListBullet"/>
      </w:pPr>
      <w:r>
        <w:rPr>
          <w:rFonts w:ascii="微软雅黑" w:hAnsi="微软雅黑" w:eastAsia="微软雅黑"/>
        </w:rPr>
        <w:t>三员分立：系统管理员、系统安全保密员、系统安全审计员，三员日志单独记录；</w:t>
      </w:r>
    </w:p>
    <w:p>
      <w:pPr>
        <w:pStyle w:val="ListBullet"/>
      </w:pPr>
      <w:r>
        <w:rPr>
          <w:rFonts w:ascii="微软雅黑" w:hAnsi="微软雅黑" w:eastAsia="微软雅黑"/>
        </w:rPr>
        <w:t>身份认证与权限管理：与统一认证、统一用户机构集成，实现单点登录；权限分规则权限、默认权限、临时权限三级；</w:t>
      </w:r>
    </w:p>
    <w:p>
      <w:pPr>
        <w:pStyle w:val="ListBullet"/>
      </w:pPr>
      <w:r>
        <w:rPr>
          <w:rFonts w:ascii="微软雅黑" w:hAnsi="微软雅黑" w:eastAsia="微软雅黑"/>
        </w:rPr>
        <w:t>跟踪审计与固化信息：八类日志分类管理、日志检索查询、在线用户管理；</w:t>
      </w:r>
    </w:p>
    <w:p>
      <w:pPr>
        <w:pStyle w:val="ListBullet"/>
      </w:pPr>
      <w:r>
        <w:rPr>
          <w:rFonts w:ascii="微软雅黑" w:hAnsi="微软雅黑" w:eastAsia="微软雅黑"/>
        </w:rPr>
        <w:t>水印防扩散：浏览、下载、打印电子原文添加文字水印、图片水印、动态水印（用户身份和时间标记）。</w:t>
      </w:r>
    </w:p>
    <w:p>
      <w:r>
        <w:br w:type="page"/>
      </w:r>
    </w:p>
    <w:p>
      <w:pPr>
        <w:pBdr>
          <w:bottom w:val="single" w:sz="8" w:color="C70019"/>
        </w:pBdr>
      </w:pPr>
      <w:r>
        <w:rPr>
          <w:rFonts w:ascii="微软雅黑" w:hAnsi="微软雅黑" w:eastAsia="微软雅黑"/>
          <w:b/>
          <w:color w:val="C70019"/>
          <w:sz w:val="32"/>
        </w:rPr>
        <w:t>第3章 档案数据接收平台详细设计</w:t>
      </w:r>
    </w:p>
    <w:p>
      <w:r>
        <w:rPr>
          <w:rFonts w:ascii="微软雅黑" w:hAnsi="微软雅黑" w:eastAsia="微软雅黑"/>
          <w:b/>
          <w:color w:val="00678F"/>
          <w:sz w:val="26"/>
        </w:rPr>
        <w:t>3.1 平台定位与功能模块总览</w:t>
      </w:r>
    </w:p>
    <w:p>
      <w:r>
        <w:rPr>
          <w:rFonts w:ascii="微软雅黑" w:hAnsi="微软雅黑" w:eastAsia="微软雅黑"/>
          <w:b w:val="0"/>
          <w:sz w:val="21"/>
        </w:rPr>
        <w:t>档案数据接收平台定位于全源档案资源的规范接收与整理编目，具备电子文件归档、数据捕获、"四性"检测、自动分类、监控统计、接口配置六项能力，内设归档接收、全程留痕、整理编目、凭证归档等模块，提供自动归档、数字化加工、手工著录、数据迁移四种收集方式。</w:t>
      </w:r>
    </w:p>
    <w:p>
      <w:pPr>
        <w:jc w:val="center"/>
      </w:pPr>
      <w:r>
        <w:drawing>
          <wp:inline xmlns:a="http://schemas.openxmlformats.org/drawingml/2006/main" xmlns:pic="http://schemas.openxmlformats.org/drawingml/2006/picture">
            <wp:extent cx="5580000" cy="3500680"/>
            <wp:docPr id="6" name="Picture 6"/>
            <wp:cNvGraphicFramePr>
              <a:graphicFrameLocks noChangeAspect="1"/>
            </wp:cNvGraphicFramePr>
            <a:graphic>
              <a:graphicData uri="http://schemas.openxmlformats.org/drawingml/2006/picture">
                <pic:pic>
                  <pic:nvPicPr>
                    <pic:cNvPr id="0" name="06-接收平台功能架构.png"/>
                    <pic:cNvPicPr/>
                  </pic:nvPicPr>
                  <pic:blipFill>
                    <a:blip r:embed="rId14"/>
                    <a:stretch>
                      <a:fillRect/>
                    </a:stretch>
                  </pic:blipFill>
                  <pic:spPr>
                    <a:xfrm>
                      <a:off x="0" y="0"/>
                      <a:ext cx="5580000" cy="3500680"/>
                    </a:xfrm>
                    <a:prstGeom prst="rect"/>
                  </pic:spPr>
                </pic:pic>
              </a:graphicData>
            </a:graphic>
          </wp:inline>
        </w:drawing>
      </w:r>
    </w:p>
    <w:p>
      <w:pPr>
        <w:jc w:val="center"/>
      </w:pPr>
      <w:r>
        <w:rPr>
          <w:rFonts w:ascii="微软雅黑" w:hAnsi="微软雅黑" w:eastAsia="微软雅黑"/>
          <w:color w:val="888888"/>
          <w:sz w:val="18"/>
        </w:rPr>
        <w:t>图3-1 档案数据接收平台功能架构</w:t>
      </w:r>
    </w:p>
    <w:p>
      <w:r>
        <w:rPr>
          <w:rFonts w:ascii="微软雅黑" w:hAnsi="微软雅黑" w:eastAsia="微软雅黑"/>
          <w:b w:val="0"/>
          <w:sz w:val="21"/>
        </w:rPr>
        <w:t>按照《档案接收平台深度方案论述》与《档案系统建设报价单（v6.0）》，档案接收平台（业务系统自动归档接入层）作为一期建设内容融入"档案收集业务"模块，承担业务系统与档案系统之间的"智能转换器"角色，让36个业务系统自动产生符合国家标准的电子档案。</w:t>
      </w:r>
    </w:p>
    <w:p>
      <w:pPr>
        <w:jc w:val="center"/>
      </w:pPr>
      <w:r>
        <w:drawing>
          <wp:inline xmlns:a="http://schemas.openxmlformats.org/drawingml/2006/main" xmlns:pic="http://schemas.openxmlformats.org/drawingml/2006/picture">
            <wp:extent cx="5580000" cy="2479114"/>
            <wp:docPr id="7" name="Picture 7"/>
            <wp:cNvGraphicFramePr>
              <a:graphicFrameLocks noChangeAspect="1"/>
            </wp:cNvGraphicFramePr>
            <a:graphic>
              <a:graphicData uri="http://schemas.openxmlformats.org/drawingml/2006/picture">
                <pic:pic>
                  <pic:nvPicPr>
                    <pic:cNvPr id="0" name="07-接收平台十大能力.png"/>
                    <pic:cNvPicPr/>
                  </pic:nvPicPr>
                  <pic:blipFill>
                    <a:blip r:embed="rId15"/>
                    <a:stretch>
                      <a:fillRect/>
                    </a:stretch>
                  </pic:blipFill>
                  <pic:spPr>
                    <a:xfrm>
                      <a:off x="0" y="0"/>
                      <a:ext cx="5580000" cy="2479114"/>
                    </a:xfrm>
                    <a:prstGeom prst="rect"/>
                  </pic:spPr>
                </pic:pic>
              </a:graphicData>
            </a:graphic>
          </wp:inline>
        </w:drawing>
      </w:r>
    </w:p>
    <w:p>
      <w:pPr>
        <w:jc w:val="center"/>
      </w:pPr>
      <w:r>
        <w:rPr>
          <w:rFonts w:ascii="微软雅黑" w:hAnsi="微软雅黑" w:eastAsia="微软雅黑"/>
          <w:color w:val="888888"/>
          <w:sz w:val="18"/>
        </w:rPr>
        <w:t>图3-2 档案接收平台十大核心能力</w:t>
      </w:r>
    </w:p>
    <w:p>
      <w:r>
        <w:rPr>
          <w:rFonts w:ascii="微软雅黑" w:hAnsi="微软雅黑" w:eastAsia="微软雅黑"/>
          <w:b/>
          <w:color w:val="00678F"/>
          <w:sz w:val="26"/>
        </w:rPr>
        <w:t>3.2 归档接口适配（在线接收）</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功能点</w:t>
            </w:r>
          </w:p>
        </w:tc>
        <w:tc>
          <w:tcPr>
            <w:tcW w:type="dxa" w:w="4536"/>
            <w:shd w:val="clear" w:color="auto" w:fill="C70019"/>
          </w:tcPr>
          <w:p>
            <w:pPr>
              <w:jc w:val="center"/>
            </w:pPr>
            <w:r/>
            <w:r>
              <w:rPr>
                <w:rFonts w:ascii="微软雅黑" w:hAnsi="微软雅黑" w:eastAsia="微软雅黑"/>
                <w:b/>
                <w:color w:val="FFFFFF"/>
                <w:sz w:val="18"/>
              </w:rPr>
              <w:t>详细设计要点</w:t>
            </w:r>
          </w:p>
        </w:tc>
      </w:tr>
      <w:tr>
        <w:tc>
          <w:tcPr>
            <w:tcW w:type="dxa" w:w="4536"/>
          </w:tcPr>
          <w:p>
            <w:r/>
            <w:r>
              <w:rPr>
                <w:rFonts w:ascii="微软雅黑" w:hAnsi="微软雅黑" w:eastAsia="微软雅黑"/>
                <w:sz w:val="17"/>
              </w:rPr>
              <w:t>归档接口服务</w:t>
            </w:r>
          </w:p>
        </w:tc>
        <w:tc>
          <w:tcPr>
            <w:tcW w:type="dxa" w:w="4536"/>
          </w:tcPr>
          <w:p>
            <w:r/>
            <w:r>
              <w:rPr>
                <w:rFonts w:ascii="微软雅黑" w:hAnsi="微软雅黑" w:eastAsia="微软雅黑"/>
                <w:sz w:val="17"/>
              </w:rPr>
              <w:t>通过WebService/REST接口接收业务系统推送的归档信息包</w:t>
            </w:r>
          </w:p>
        </w:tc>
      </w:tr>
      <w:tr>
        <w:tc>
          <w:tcPr>
            <w:tcW w:type="dxa" w:w="4536"/>
            <w:shd w:val="clear" w:color="auto" w:fill="F2F1EE"/>
          </w:tcPr>
          <w:p>
            <w:r/>
            <w:r>
              <w:rPr>
                <w:rFonts w:ascii="微软雅黑" w:hAnsi="微软雅黑" w:eastAsia="微软雅黑"/>
                <w:sz w:val="17"/>
              </w:rPr>
              <w:t>归档信息包解析</w:t>
            </w:r>
          </w:p>
        </w:tc>
        <w:tc>
          <w:tcPr>
            <w:tcW w:type="dxa" w:w="4536"/>
            <w:shd w:val="clear" w:color="auto" w:fill="F2F1EE"/>
          </w:tcPr>
          <w:p>
            <w:r/>
            <w:r>
              <w:rPr>
                <w:rFonts w:ascii="微软雅黑" w:hAnsi="微软雅黑" w:eastAsia="微软雅黑"/>
                <w:sz w:val="17"/>
              </w:rPr>
              <w:t>符合《基于XML的电子文件封装规范》（DA/T 48-2009），多版本向下兼容</w:t>
            </w:r>
          </w:p>
        </w:tc>
      </w:tr>
      <w:tr>
        <w:tc>
          <w:tcPr>
            <w:tcW w:type="dxa" w:w="4536"/>
          </w:tcPr>
          <w:p>
            <w:r/>
            <w:r>
              <w:rPr>
                <w:rFonts w:ascii="微软雅黑" w:hAnsi="微软雅黑" w:eastAsia="微软雅黑"/>
                <w:sz w:val="17"/>
              </w:rPr>
              <w:t>多方式传输</w:t>
            </w:r>
          </w:p>
        </w:tc>
        <w:tc>
          <w:tcPr>
            <w:tcW w:type="dxa" w:w="4536"/>
          </w:tcPr>
          <w:p>
            <w:r/>
            <w:r>
              <w:rPr>
                <w:rFonts w:ascii="微软雅黑" w:hAnsi="微软雅黑" w:eastAsia="微软雅黑"/>
                <w:sz w:val="17"/>
              </w:rPr>
              <w:t>多方式传输电子档案数字对象（文件流/FTP/共享存储）并采取签名验证</w:t>
            </w:r>
          </w:p>
        </w:tc>
      </w:tr>
      <w:tr>
        <w:tc>
          <w:tcPr>
            <w:tcW w:type="dxa" w:w="4536"/>
            <w:shd w:val="clear" w:color="auto" w:fill="F2F1EE"/>
          </w:tcPr>
          <w:p>
            <w:r/>
            <w:r>
              <w:rPr>
                <w:rFonts w:ascii="微软雅黑" w:hAnsi="微软雅黑" w:eastAsia="微软雅黑"/>
                <w:sz w:val="17"/>
              </w:rPr>
              <w:t>接收中间表管理</w:t>
            </w:r>
          </w:p>
        </w:tc>
        <w:tc>
          <w:tcPr>
            <w:tcW w:type="dxa" w:w="4536"/>
            <w:shd w:val="clear" w:color="auto" w:fill="F2F1EE"/>
          </w:tcPr>
          <w:p>
            <w:r/>
            <w:r>
              <w:rPr>
                <w:rFonts w:ascii="微软雅黑" w:hAnsi="微软雅黑" w:eastAsia="微软雅黑"/>
                <w:sz w:val="17"/>
              </w:rPr>
              <w:t>原始数据、校验检测结果、自动处理结果查看，手动入库、冲突解决</w:t>
            </w:r>
          </w:p>
        </w:tc>
      </w:tr>
      <w:tr>
        <w:tc>
          <w:tcPr>
            <w:tcW w:type="dxa" w:w="4536"/>
          </w:tcPr>
          <w:p>
            <w:r/>
            <w:r>
              <w:rPr>
                <w:rFonts w:ascii="微软雅黑" w:hAnsi="微软雅黑" w:eastAsia="微软雅黑"/>
                <w:sz w:val="17"/>
              </w:rPr>
              <w:t>交接记录自动生成</w:t>
            </w:r>
          </w:p>
        </w:tc>
        <w:tc>
          <w:tcPr>
            <w:tcW w:type="dxa" w:w="4536"/>
          </w:tcPr>
          <w:p>
            <w:r/>
            <w:r>
              <w:rPr>
                <w:rFonts w:ascii="微软雅黑" w:hAnsi="微软雅黑" w:eastAsia="微软雅黑"/>
                <w:sz w:val="17"/>
              </w:rPr>
              <w:t>按来源关系自动记录传输电子文件明细，全程留痕</w:t>
            </w:r>
          </w:p>
        </w:tc>
      </w:tr>
      <w:tr>
        <w:tc>
          <w:tcPr>
            <w:tcW w:type="dxa" w:w="4536"/>
            <w:shd w:val="clear" w:color="auto" w:fill="F2F1EE"/>
          </w:tcPr>
          <w:p>
            <w:r/>
            <w:r>
              <w:rPr>
                <w:rFonts w:ascii="微软雅黑" w:hAnsi="微软雅黑" w:eastAsia="微软雅黑"/>
                <w:sz w:val="17"/>
              </w:rPr>
              <w:t>离线归档接收</w:t>
            </w:r>
          </w:p>
        </w:tc>
        <w:tc>
          <w:tcPr>
            <w:tcW w:type="dxa" w:w="4536"/>
            <w:shd w:val="clear" w:color="auto" w:fill="F2F1EE"/>
          </w:tcPr>
          <w:p>
            <w:r/>
            <w:r>
              <w:rPr>
                <w:rFonts w:ascii="微软雅黑" w:hAnsi="微软雅黑" w:eastAsia="微软雅黑"/>
                <w:sz w:val="17"/>
              </w:rPr>
              <w:t>离线接收方案配置、批次化离线接收、标准信息包导入（国档发〔2012〕7号）、条目信息与电子文件批量导入</w:t>
            </w:r>
          </w:p>
        </w:tc>
      </w:tr>
    </w:tbl>
    <w:p/>
    <w:p>
      <w:r>
        <w:rPr>
          <w:rFonts w:ascii="微软雅黑" w:hAnsi="微软雅黑" w:eastAsia="微软雅黑"/>
          <w:b/>
          <w:color w:val="00678F"/>
          <w:sz w:val="26"/>
        </w:rPr>
        <w:t>3.3 归档环节"四性"检测</w:t>
      </w:r>
    </w:p>
    <w:p>
      <w:r>
        <w:rPr>
          <w:rFonts w:ascii="微软雅黑" w:hAnsi="微软雅黑" w:eastAsia="微软雅黑"/>
          <w:b w:val="0"/>
          <w:sz w:val="21"/>
        </w:rPr>
        <w:t>对每个检测项点的检测代码进行封装，供业务系统在归档环节直接调用（公共代码包）；检测方案二维配置：按档案门类×检测环节（归档、移交与接收、长期保存）分别设置专属方案；检测对象三层次覆盖：元数据检查、电子文件检查、信息包检查。</w:t>
      </w:r>
    </w:p>
    <w:p>
      <w:pPr>
        <w:jc w:val="center"/>
      </w:pPr>
      <w:r>
        <w:drawing>
          <wp:inline xmlns:a="http://schemas.openxmlformats.org/drawingml/2006/main" xmlns:pic="http://schemas.openxmlformats.org/drawingml/2006/picture">
            <wp:extent cx="5580000" cy="2542886"/>
            <wp:docPr id="8" name="Picture 8"/>
            <wp:cNvGraphicFramePr>
              <a:graphicFrameLocks noChangeAspect="1"/>
            </wp:cNvGraphicFramePr>
            <a:graphic>
              <a:graphicData uri="http://schemas.openxmlformats.org/drawingml/2006/picture">
                <pic:pic>
                  <pic:nvPicPr>
                    <pic:cNvPr id="0" name="10-四性检测体系.png"/>
                    <pic:cNvPicPr/>
                  </pic:nvPicPr>
                  <pic:blipFill>
                    <a:blip r:embed="rId16"/>
                    <a:stretch>
                      <a:fillRect/>
                    </a:stretch>
                  </pic:blipFill>
                  <pic:spPr>
                    <a:xfrm>
                      <a:off x="0" y="0"/>
                      <a:ext cx="5580000" cy="2542886"/>
                    </a:xfrm>
                    <a:prstGeom prst="rect"/>
                  </pic:spPr>
                </pic:pic>
              </a:graphicData>
            </a:graphic>
          </wp:inline>
        </w:drawing>
      </w:r>
    </w:p>
    <w:p>
      <w:pPr>
        <w:jc w:val="center"/>
      </w:pPr>
      <w:r>
        <w:rPr>
          <w:rFonts w:ascii="微软雅黑" w:hAnsi="微软雅黑" w:eastAsia="微软雅黑"/>
          <w:color w:val="888888"/>
          <w:sz w:val="18"/>
        </w:rPr>
        <w:t>图3-3 电子档案"四性"检测体系</w:t>
      </w:r>
    </w:p>
    <w:p>
      <w:r>
        <w:rPr>
          <w:rFonts w:ascii="微软雅黑" w:hAnsi="微软雅黑" w:eastAsia="微软雅黑"/>
          <w:b/>
          <w:color w:val="00678F"/>
          <w:sz w:val="26"/>
        </w:rPr>
        <w:t>3.4 自动归档十一环节流程</w:t>
      </w:r>
    </w:p>
    <w:p>
      <w:r>
        <w:rPr>
          <w:rFonts w:ascii="微软雅黑" w:hAnsi="微软雅黑" w:eastAsia="微软雅黑"/>
          <w:b w:val="0"/>
          <w:sz w:val="21"/>
        </w:rPr>
        <w:t>档案接收平台按"业务完成→数据提取→元数据生成→格式转换→四性检测→封装→移交→接收检测→入库→整理→归位"十一环节自动流转，实现从业务系统到档案库的全程自动化，支持失败重试、结果通知回执与手动/定时触发。</w:t>
      </w:r>
    </w:p>
    <w:p>
      <w:pPr>
        <w:jc w:val="center"/>
      </w:pPr>
      <w:r>
        <w:drawing>
          <wp:inline xmlns:a="http://schemas.openxmlformats.org/drawingml/2006/main" xmlns:pic="http://schemas.openxmlformats.org/drawingml/2006/picture">
            <wp:extent cx="5580000" cy="2375486"/>
            <wp:docPr id="9" name="Picture 9"/>
            <wp:cNvGraphicFramePr>
              <a:graphicFrameLocks noChangeAspect="1"/>
            </wp:cNvGraphicFramePr>
            <a:graphic>
              <a:graphicData uri="http://schemas.openxmlformats.org/drawingml/2006/picture">
                <pic:pic>
                  <pic:nvPicPr>
                    <pic:cNvPr id="0" name="08-自动归档十一环节.png"/>
                    <pic:cNvPicPr/>
                  </pic:nvPicPr>
                  <pic:blipFill>
                    <a:blip r:embed="rId17"/>
                    <a:stretch>
                      <a:fillRect/>
                    </a:stretch>
                  </pic:blipFill>
                  <pic:spPr>
                    <a:xfrm>
                      <a:off x="0" y="0"/>
                      <a:ext cx="5580000" cy="2375486"/>
                    </a:xfrm>
                    <a:prstGeom prst="rect"/>
                  </pic:spPr>
                </pic:pic>
              </a:graphicData>
            </a:graphic>
          </wp:inline>
        </w:drawing>
      </w:r>
    </w:p>
    <w:p>
      <w:pPr>
        <w:jc w:val="center"/>
      </w:pPr>
      <w:r>
        <w:rPr>
          <w:rFonts w:ascii="微软雅黑" w:hAnsi="微软雅黑" w:eastAsia="微软雅黑"/>
          <w:color w:val="888888"/>
          <w:sz w:val="18"/>
        </w:rPr>
        <w:t>图3-4 自动归档十一环节流程</w:t>
      </w:r>
    </w:p>
    <w:p>
      <w:r>
        <w:rPr>
          <w:rFonts w:ascii="微软雅黑" w:hAnsi="微软雅黑" w:eastAsia="微软雅黑"/>
          <w:b/>
          <w:color w:val="00678F"/>
          <w:sz w:val="26"/>
        </w:rPr>
        <w:t>3.5 归档流程协同（十二节点）</w:t>
      </w:r>
    </w:p>
    <w:p>
      <w:r>
        <w:rPr>
          <w:rFonts w:ascii="微软雅黑" w:hAnsi="微软雅黑" w:eastAsia="微软雅黑"/>
          <w:b w:val="0"/>
          <w:sz w:val="21"/>
        </w:rPr>
        <w:t>文件归档按十二个节点全流程运转：价值鉴定→成文与元数据收集→质量检查与归档环节四性检测→清单编制→移交审批→接收与接收环节四性检测→接收审批→清单存证返还→整理归档与元数据维护，各审批节点均与苍穹云平台协同。</w:t>
      </w:r>
    </w:p>
    <w:p>
      <w:pPr>
        <w:jc w:val="center"/>
      </w:pPr>
      <w:r>
        <w:drawing>
          <wp:inline xmlns:a="http://schemas.openxmlformats.org/drawingml/2006/main" xmlns:pic="http://schemas.openxmlformats.org/drawingml/2006/picture">
            <wp:extent cx="5580000" cy="1239557"/>
            <wp:docPr id="10" name="Picture 10"/>
            <wp:cNvGraphicFramePr>
              <a:graphicFrameLocks noChangeAspect="1"/>
            </wp:cNvGraphicFramePr>
            <a:graphic>
              <a:graphicData uri="http://schemas.openxmlformats.org/drawingml/2006/picture">
                <pic:pic>
                  <pic:nvPicPr>
                    <pic:cNvPr id="0" name="09-文件归档十二节点.png"/>
                    <pic:cNvPicPr/>
                  </pic:nvPicPr>
                  <pic:blipFill>
                    <a:blip r:embed="rId18"/>
                    <a:stretch>
                      <a:fillRect/>
                    </a:stretch>
                  </pic:blipFill>
                  <pic:spPr>
                    <a:xfrm>
                      <a:off x="0" y="0"/>
                      <a:ext cx="5580000" cy="1239557"/>
                    </a:xfrm>
                    <a:prstGeom prst="rect"/>
                  </pic:spPr>
                </pic:pic>
              </a:graphicData>
            </a:graphic>
          </wp:inline>
        </w:drawing>
      </w:r>
    </w:p>
    <w:p>
      <w:pPr>
        <w:jc w:val="center"/>
      </w:pPr>
      <w:r>
        <w:rPr>
          <w:rFonts w:ascii="微软雅黑" w:hAnsi="微软雅黑" w:eastAsia="微软雅黑"/>
          <w:color w:val="888888"/>
          <w:sz w:val="18"/>
        </w:rPr>
        <w:t>图3-5 文件归档十二节点流程</w:t>
      </w:r>
    </w:p>
    <w:p>
      <w:r>
        <w:rPr>
          <w:rFonts w:ascii="微软雅黑" w:hAnsi="微软雅黑" w:eastAsia="微软雅黑"/>
          <w:b/>
          <w:color w:val="00678F"/>
          <w:sz w:val="26"/>
        </w:rPr>
        <w:t>3.6 整理编目</w:t>
      </w:r>
    </w:p>
    <w:p>
      <w:r>
        <w:rPr>
          <w:rFonts w:ascii="微软雅黑" w:hAnsi="微软雅黑" w:eastAsia="微软雅黑"/>
          <w:b w:val="0"/>
          <w:sz w:val="21"/>
        </w:rPr>
        <w:t>支持自动归档鉴定、自动分类、组件组卷、装盒管理、自动赋号、自动编目，以及手工著录、字段可视化连接、著录公式、看图著录等多种元数据低著录方式。</w:t>
      </w:r>
    </w:p>
    <w:p>
      <w:pPr>
        <w:jc w:val="center"/>
      </w:pPr>
      <w:r>
        <w:drawing>
          <wp:inline xmlns:a="http://schemas.openxmlformats.org/drawingml/2006/main" xmlns:pic="http://schemas.openxmlformats.org/drawingml/2006/picture">
            <wp:extent cx="5580000" cy="1658057"/>
            <wp:docPr id="11" name="Picture 11"/>
            <wp:cNvGraphicFramePr>
              <a:graphicFrameLocks noChangeAspect="1"/>
            </wp:cNvGraphicFramePr>
            <a:graphic>
              <a:graphicData uri="http://schemas.openxmlformats.org/drawingml/2006/picture">
                <pic:pic>
                  <pic:nvPicPr>
                    <pic:cNvPr id="0" name="33-整理编目.png"/>
                    <pic:cNvPicPr/>
                  </pic:nvPicPr>
                  <pic:blipFill>
                    <a:blip r:embed="rId19"/>
                    <a:stretch>
                      <a:fillRect/>
                    </a:stretch>
                  </pic:blipFill>
                  <pic:spPr>
                    <a:xfrm>
                      <a:off x="0" y="0"/>
                      <a:ext cx="5580000" cy="1658057"/>
                    </a:xfrm>
                    <a:prstGeom prst="rect"/>
                  </pic:spPr>
                </pic:pic>
              </a:graphicData>
            </a:graphic>
          </wp:inline>
        </w:drawing>
      </w:r>
    </w:p>
    <w:p>
      <w:pPr>
        <w:jc w:val="center"/>
      </w:pPr>
      <w:r>
        <w:rPr>
          <w:rFonts w:ascii="微软雅黑" w:hAnsi="微软雅黑" w:eastAsia="微软雅黑"/>
          <w:color w:val="888888"/>
          <w:sz w:val="18"/>
        </w:rPr>
        <w:t>图3-6 整理编目流水线</w:t>
      </w:r>
    </w:p>
    <w:p>
      <w:r>
        <w:rPr>
          <w:rFonts w:ascii="微软雅黑" w:hAnsi="微软雅黑" w:eastAsia="微软雅黑"/>
          <w:b/>
          <w:color w:val="00678F"/>
          <w:sz w:val="26"/>
        </w:rPr>
        <w:t>3.7 元数据自动采集（六类文件）</w:t>
      </w:r>
    </w:p>
    <w:p>
      <w:r>
        <w:rPr>
          <w:rFonts w:ascii="微软雅黑" w:hAnsi="微软雅黑" w:eastAsia="微软雅黑"/>
          <w:b w:val="0"/>
          <w:sz w:val="21"/>
        </w:rPr>
        <w:t>档案接收平台支持电子公文/一般文本/照片/录音/网页/数字化副本六类电子文件元数据自动采集，三层次采集规则配置（文件自身携带/平台额外捕获/固化信息），符合DA/T 46-2009。</w:t>
      </w:r>
    </w:p>
    <w:p>
      <w:pPr>
        <w:jc w:val="center"/>
      </w:pPr>
      <w:r>
        <w:drawing>
          <wp:inline xmlns:a="http://schemas.openxmlformats.org/drawingml/2006/main" xmlns:pic="http://schemas.openxmlformats.org/drawingml/2006/picture">
            <wp:extent cx="5580000" cy="1674000"/>
            <wp:docPr id="12" name="Picture 12"/>
            <wp:cNvGraphicFramePr>
              <a:graphicFrameLocks noChangeAspect="1"/>
            </wp:cNvGraphicFramePr>
            <a:graphic>
              <a:graphicData uri="http://schemas.openxmlformats.org/drawingml/2006/picture">
                <pic:pic>
                  <pic:nvPicPr>
                    <pic:cNvPr id="0" name="31-元数据自动采集.png"/>
                    <pic:cNvPicPr/>
                  </pic:nvPicPr>
                  <pic:blipFill>
                    <a:blip r:embed="rId20"/>
                    <a:stretch>
                      <a:fillRect/>
                    </a:stretch>
                  </pic:blipFill>
                  <pic:spPr>
                    <a:xfrm>
                      <a:off x="0" y="0"/>
                      <a:ext cx="5580000" cy="1674000"/>
                    </a:xfrm>
                    <a:prstGeom prst="rect"/>
                  </pic:spPr>
                </pic:pic>
              </a:graphicData>
            </a:graphic>
          </wp:inline>
        </w:drawing>
      </w:r>
    </w:p>
    <w:p>
      <w:pPr>
        <w:jc w:val="center"/>
      </w:pPr>
      <w:r>
        <w:rPr>
          <w:rFonts w:ascii="微软雅黑" w:hAnsi="微软雅黑" w:eastAsia="微软雅黑"/>
          <w:color w:val="888888"/>
          <w:sz w:val="18"/>
        </w:rPr>
        <w:t>图3-7 六类电子文件元数据自动采集</w:t>
      </w:r>
    </w:p>
    <w:p>
      <w:r>
        <w:rPr>
          <w:rFonts w:ascii="微软雅黑" w:hAnsi="微软雅黑" w:eastAsia="微软雅黑"/>
          <w:b/>
          <w:color w:val="00678F"/>
          <w:sz w:val="26"/>
        </w:rPr>
        <w:t>3.8 智能归档模型（四层次）</w:t>
      </w:r>
    </w:p>
    <w:p>
      <w:r>
        <w:rPr>
          <w:rFonts w:ascii="微软雅黑" w:hAnsi="微软雅黑" w:eastAsia="微软雅黑"/>
          <w:b w:val="0"/>
          <w:sz w:val="21"/>
        </w:rPr>
        <w:t>支持全局/行业/系统/活动四层次归档模型配置（归档范围+元数据方案+检测方案），识别业务数据→自动生成元数据→自动分类→自动确定保管期限。</w:t>
      </w:r>
    </w:p>
    <w:p>
      <w:pPr>
        <w:jc w:val="center"/>
      </w:pPr>
      <w:r>
        <w:drawing>
          <wp:inline xmlns:a="http://schemas.openxmlformats.org/drawingml/2006/main" xmlns:pic="http://schemas.openxmlformats.org/drawingml/2006/picture">
            <wp:extent cx="5580000" cy="4388271"/>
            <wp:docPr id="13" name="Picture 13"/>
            <wp:cNvGraphicFramePr>
              <a:graphicFrameLocks noChangeAspect="1"/>
            </wp:cNvGraphicFramePr>
            <a:graphic>
              <a:graphicData uri="http://schemas.openxmlformats.org/drawingml/2006/picture">
                <pic:pic>
                  <pic:nvPicPr>
                    <pic:cNvPr id="0" name="32-智能归档模型.png"/>
                    <pic:cNvPicPr/>
                  </pic:nvPicPr>
                  <pic:blipFill>
                    <a:blip r:embed="rId21"/>
                    <a:stretch>
                      <a:fillRect/>
                    </a:stretch>
                  </pic:blipFill>
                  <pic:spPr>
                    <a:xfrm>
                      <a:off x="0" y="0"/>
                      <a:ext cx="5580000" cy="4388271"/>
                    </a:xfrm>
                    <a:prstGeom prst="rect"/>
                  </pic:spPr>
                </pic:pic>
              </a:graphicData>
            </a:graphic>
          </wp:inline>
        </w:drawing>
      </w:r>
    </w:p>
    <w:p>
      <w:pPr>
        <w:jc w:val="center"/>
      </w:pPr>
      <w:r>
        <w:rPr>
          <w:rFonts w:ascii="微软雅黑" w:hAnsi="微软雅黑" w:eastAsia="微软雅黑"/>
          <w:color w:val="888888"/>
          <w:sz w:val="18"/>
        </w:rPr>
        <w:t>图3-8 智能归档模型四层次</w:t>
      </w:r>
    </w:p>
    <w:p>
      <w:r>
        <w:rPr>
          <w:rFonts w:ascii="微软雅黑" w:hAnsi="微软雅黑" w:eastAsia="微软雅黑"/>
          <w:b/>
          <w:color w:val="00678F"/>
          <w:sz w:val="26"/>
        </w:rPr>
        <w:t>3.9 业务系统四级接入</w:t>
      </w:r>
    </w:p>
    <w:p>
      <w:r>
        <w:rPr>
          <w:rFonts w:ascii="微软雅黑" w:hAnsi="微软雅黑" w:eastAsia="微软雅黑"/>
          <w:b w:val="0"/>
          <w:sz w:val="21"/>
        </w:rPr>
        <w:t>按业务系统改造程度提供数据保存、简单接收、管理合规、单套保存四级接入，逐步把更多系统推向单套保存。</w:t>
      </w:r>
    </w:p>
    <w:p>
      <w:pPr>
        <w:jc w:val="center"/>
      </w:pPr>
      <w:r>
        <w:drawing>
          <wp:inline xmlns:a="http://schemas.openxmlformats.org/drawingml/2006/main" xmlns:pic="http://schemas.openxmlformats.org/drawingml/2006/picture">
            <wp:extent cx="5580000" cy="3559243"/>
            <wp:docPr id="14" name="Picture 14"/>
            <wp:cNvGraphicFramePr>
              <a:graphicFrameLocks noChangeAspect="1"/>
            </wp:cNvGraphicFramePr>
            <a:graphic>
              <a:graphicData uri="http://schemas.openxmlformats.org/drawingml/2006/picture">
                <pic:pic>
                  <pic:nvPicPr>
                    <pic:cNvPr id="0" name="34-四级接入.png"/>
                    <pic:cNvPicPr/>
                  </pic:nvPicPr>
                  <pic:blipFill>
                    <a:blip r:embed="rId22"/>
                    <a:stretch>
                      <a:fillRect/>
                    </a:stretch>
                  </pic:blipFill>
                  <pic:spPr>
                    <a:xfrm>
                      <a:off x="0" y="0"/>
                      <a:ext cx="5580000" cy="3559243"/>
                    </a:xfrm>
                    <a:prstGeom prst="rect"/>
                  </pic:spPr>
                </pic:pic>
              </a:graphicData>
            </a:graphic>
          </wp:inline>
        </w:drawing>
      </w:r>
    </w:p>
    <w:p>
      <w:pPr>
        <w:jc w:val="center"/>
      </w:pPr>
      <w:r>
        <w:rPr>
          <w:rFonts w:ascii="微软雅黑" w:hAnsi="微软雅黑" w:eastAsia="微软雅黑"/>
          <w:color w:val="888888"/>
          <w:sz w:val="18"/>
        </w:rPr>
        <w:t>图3-9 业务系统四级接入</w:t>
      </w:r>
    </w:p>
    <w:p>
      <w:r>
        <w:br w:type="page"/>
      </w:r>
    </w:p>
    <w:p>
      <w:pPr>
        <w:pBdr>
          <w:bottom w:val="single" w:sz="8" w:color="C70019"/>
        </w:pBdr>
      </w:pPr>
      <w:r>
        <w:rPr>
          <w:rFonts w:ascii="微软雅黑" w:hAnsi="微软雅黑" w:eastAsia="微软雅黑"/>
          <w:b/>
          <w:color w:val="C70019"/>
          <w:sz w:val="32"/>
        </w:rPr>
        <w:t>第4章 档案管理平台详细设计</w:t>
      </w:r>
    </w:p>
    <w:p>
      <w:r>
        <w:rPr>
          <w:rFonts w:ascii="微软雅黑" w:hAnsi="微软雅黑" w:eastAsia="微软雅黑"/>
          <w:b/>
          <w:color w:val="00678F"/>
          <w:sz w:val="26"/>
        </w:rPr>
        <w:t>4.1 库藏管理</w:t>
      </w:r>
    </w:p>
    <w:p>
      <w:r>
        <w:rPr>
          <w:rFonts w:ascii="微软雅黑" w:hAnsi="微软雅黑" w:eastAsia="微软雅黑"/>
          <w:b w:val="0"/>
          <w:sz w:val="21"/>
        </w:rPr>
        <w:t>多库管理：接收库、整理库、保管库、利用库分库管理，库间数据同步；电子档案排列定位；数据检查与流转。</w:t>
      </w:r>
    </w:p>
    <w:p>
      <w:pPr>
        <w:jc w:val="center"/>
      </w:pPr>
      <w:r>
        <w:drawing>
          <wp:inline xmlns:a="http://schemas.openxmlformats.org/drawingml/2006/main" xmlns:pic="http://schemas.openxmlformats.org/drawingml/2006/picture">
            <wp:extent cx="5580000" cy="1642114"/>
            <wp:docPr id="15" name="Picture 15"/>
            <wp:cNvGraphicFramePr>
              <a:graphicFrameLocks noChangeAspect="1"/>
            </wp:cNvGraphicFramePr>
            <a:graphic>
              <a:graphicData uri="http://schemas.openxmlformats.org/drawingml/2006/picture">
                <pic:pic>
                  <pic:nvPicPr>
                    <pic:cNvPr id="0" name="11-库藏管理.png"/>
                    <pic:cNvPicPr/>
                  </pic:nvPicPr>
                  <pic:blipFill>
                    <a:blip r:embed="rId23"/>
                    <a:stretch>
                      <a:fillRect/>
                    </a:stretch>
                  </pic:blipFill>
                  <pic:spPr>
                    <a:xfrm>
                      <a:off x="0" y="0"/>
                      <a:ext cx="5580000" cy="1642114"/>
                    </a:xfrm>
                    <a:prstGeom prst="rect"/>
                  </pic:spPr>
                </pic:pic>
              </a:graphicData>
            </a:graphic>
          </wp:inline>
        </w:drawing>
      </w:r>
    </w:p>
    <w:p>
      <w:pPr>
        <w:jc w:val="center"/>
      </w:pPr>
      <w:r>
        <w:rPr>
          <w:rFonts w:ascii="微软雅黑" w:hAnsi="微软雅黑" w:eastAsia="微软雅黑"/>
          <w:color w:val="888888"/>
          <w:sz w:val="18"/>
        </w:rPr>
        <w:t>图4-1 库藏管理与四库流转</w:t>
      </w:r>
    </w:p>
    <w:p>
      <w:r>
        <w:rPr>
          <w:rFonts w:ascii="微软雅黑" w:hAnsi="微软雅黑" w:eastAsia="微软雅黑"/>
          <w:b/>
          <w:color w:val="00678F"/>
          <w:sz w:val="26"/>
        </w:rPr>
        <w:t>4.2 全过程元数据管理（档案专业核心）</w:t>
      </w:r>
    </w:p>
    <w:p>
      <w:r>
        <w:rPr>
          <w:rFonts w:ascii="微软雅黑" w:hAnsi="微软雅黑" w:eastAsia="微软雅黑"/>
          <w:b w:val="0"/>
          <w:sz w:val="21"/>
        </w:rPr>
        <w:t>元数据自动采集、管理过程记录、元数据修改管控、档案生命周期全程管理与快速查看、元数据结构管理。</w:t>
      </w:r>
    </w:p>
    <w:p>
      <w:pPr>
        <w:jc w:val="center"/>
      </w:pPr>
      <w:r>
        <w:drawing>
          <wp:inline xmlns:a="http://schemas.openxmlformats.org/drawingml/2006/main" xmlns:pic="http://schemas.openxmlformats.org/drawingml/2006/picture">
            <wp:extent cx="5580000" cy="3280243"/>
            <wp:docPr id="16" name="Picture 16"/>
            <wp:cNvGraphicFramePr>
              <a:graphicFrameLocks noChangeAspect="1"/>
            </wp:cNvGraphicFramePr>
            <a:graphic>
              <a:graphicData uri="http://schemas.openxmlformats.org/drawingml/2006/picture">
                <pic:pic>
                  <pic:nvPicPr>
                    <pic:cNvPr id="0" name="12-元数据管理.png"/>
                    <pic:cNvPicPr/>
                  </pic:nvPicPr>
                  <pic:blipFill>
                    <a:blip r:embed="rId24"/>
                    <a:stretch>
                      <a:fillRect/>
                    </a:stretch>
                  </pic:blipFill>
                  <pic:spPr>
                    <a:xfrm>
                      <a:off x="0" y="0"/>
                      <a:ext cx="5580000" cy="3280243"/>
                    </a:xfrm>
                    <a:prstGeom prst="rect"/>
                  </pic:spPr>
                </pic:pic>
              </a:graphicData>
            </a:graphic>
          </wp:inline>
        </w:drawing>
      </w:r>
    </w:p>
    <w:p>
      <w:pPr>
        <w:jc w:val="center"/>
      </w:pPr>
      <w:r>
        <w:rPr>
          <w:rFonts w:ascii="微软雅黑" w:hAnsi="微软雅黑" w:eastAsia="微软雅黑"/>
          <w:color w:val="888888"/>
          <w:sz w:val="18"/>
        </w:rPr>
        <w:t>图4-2 全过程元数据管理</w:t>
      </w:r>
    </w:p>
    <w:p>
      <w:r>
        <w:rPr>
          <w:rFonts w:ascii="微软雅黑" w:hAnsi="微软雅黑" w:eastAsia="微软雅黑"/>
          <w:b/>
          <w:color w:val="00678F"/>
          <w:sz w:val="26"/>
        </w:rPr>
        <w:t>4.3 长期保存环节"四性"检测</w:t>
      </w:r>
    </w:p>
    <w:p>
      <w:r>
        <w:rPr>
          <w:rFonts w:ascii="微软雅黑" w:hAnsi="微软雅黑" w:eastAsia="微软雅黑"/>
          <w:b w:val="0"/>
          <w:sz w:val="21"/>
        </w:rPr>
        <w:t>随时发起检测与批量检测，人工抽检辅助；定期自动检测（电子文件归档后每年至少一次）；检测结果写入电子档案元数据并记录于全程管理日志；检测报告按批次导出；检测不合格退回形成部门整改后重新归档。</w:t>
      </w:r>
    </w:p>
    <w:p>
      <w:r>
        <w:rPr>
          <w:rFonts w:ascii="微软雅黑" w:hAnsi="微软雅黑" w:eastAsia="微软雅黑"/>
          <w:b/>
          <w:color w:val="00678F"/>
          <w:sz w:val="26"/>
        </w:rPr>
        <w:t>4.4 资源维护</w:t>
      </w:r>
    </w:p>
    <w:p>
      <w:r>
        <w:rPr>
          <w:rFonts w:ascii="微软雅黑" w:hAnsi="微软雅黑" w:eastAsia="微软雅黑"/>
          <w:b w:val="0"/>
          <w:sz w:val="21"/>
        </w:rPr>
        <w:t>按"检测—维护—评估—回写"流程运转。</w:t>
      </w:r>
    </w:p>
    <w:p>
      <w:pPr>
        <w:jc w:val="center"/>
      </w:pPr>
      <w:r>
        <w:drawing>
          <wp:inline xmlns:a="http://schemas.openxmlformats.org/drawingml/2006/main" xmlns:pic="http://schemas.openxmlformats.org/drawingml/2006/picture">
            <wp:extent cx="5580000" cy="2594700"/>
            <wp:docPr id="17" name="Picture 17"/>
            <wp:cNvGraphicFramePr>
              <a:graphicFrameLocks noChangeAspect="1"/>
            </wp:cNvGraphicFramePr>
            <a:graphic>
              <a:graphicData uri="http://schemas.openxmlformats.org/drawingml/2006/picture">
                <pic:pic>
                  <pic:nvPicPr>
                    <pic:cNvPr id="0" name="14-资源维护流程.png"/>
                    <pic:cNvPicPr/>
                  </pic:nvPicPr>
                  <pic:blipFill>
                    <a:blip r:embed="rId25"/>
                    <a:stretch>
                      <a:fillRect/>
                    </a:stretch>
                  </pic:blipFill>
                  <pic:spPr>
                    <a:xfrm>
                      <a:off x="0" y="0"/>
                      <a:ext cx="5580000" cy="2594700"/>
                    </a:xfrm>
                    <a:prstGeom prst="rect"/>
                  </pic:spPr>
                </pic:pic>
              </a:graphicData>
            </a:graphic>
          </wp:inline>
        </w:drawing>
      </w:r>
    </w:p>
    <w:p>
      <w:pPr>
        <w:jc w:val="center"/>
      </w:pPr>
      <w:r>
        <w:rPr>
          <w:rFonts w:ascii="微软雅黑" w:hAnsi="微软雅黑" w:eastAsia="微软雅黑"/>
          <w:color w:val="888888"/>
          <w:sz w:val="18"/>
        </w:rPr>
        <w:t>图4-3 档案资源维护流程</w:t>
      </w:r>
    </w:p>
    <w:p>
      <w:r>
        <w:rPr>
          <w:rFonts w:ascii="微软雅黑" w:hAnsi="微软雅黑" w:eastAsia="微软雅黑"/>
          <w:b/>
          <w:color w:val="00678F"/>
          <w:sz w:val="26"/>
        </w:rPr>
        <w:t>4.5 鉴定销毁</w:t>
      </w:r>
    </w:p>
    <w:p>
      <w:r>
        <w:rPr>
          <w:rFonts w:ascii="微软雅黑" w:hAnsi="微软雅黑" w:eastAsia="微软雅黑"/>
          <w:b w:val="0"/>
          <w:sz w:val="21"/>
        </w:rPr>
        <w:t>鉴定管理、销毁管理按"遴选—鉴定—审批—监销"流程运转。</w:t>
      </w:r>
    </w:p>
    <w:p>
      <w:pPr>
        <w:jc w:val="center"/>
      </w:pPr>
      <w:r>
        <w:drawing>
          <wp:inline xmlns:a="http://schemas.openxmlformats.org/drawingml/2006/main" xmlns:pic="http://schemas.openxmlformats.org/drawingml/2006/picture">
            <wp:extent cx="5580000" cy="1414929"/>
            <wp:docPr id="18" name="Picture 18"/>
            <wp:cNvGraphicFramePr>
              <a:graphicFrameLocks noChangeAspect="1"/>
            </wp:cNvGraphicFramePr>
            <a:graphic>
              <a:graphicData uri="http://schemas.openxmlformats.org/drawingml/2006/picture">
                <pic:pic>
                  <pic:nvPicPr>
                    <pic:cNvPr id="0" name="13-鉴定销毁流程.png"/>
                    <pic:cNvPicPr/>
                  </pic:nvPicPr>
                  <pic:blipFill>
                    <a:blip r:embed="rId26"/>
                    <a:stretch>
                      <a:fillRect/>
                    </a:stretch>
                  </pic:blipFill>
                  <pic:spPr>
                    <a:xfrm>
                      <a:off x="0" y="0"/>
                      <a:ext cx="5580000" cy="1414929"/>
                    </a:xfrm>
                    <a:prstGeom prst="rect"/>
                  </pic:spPr>
                </pic:pic>
              </a:graphicData>
            </a:graphic>
          </wp:inline>
        </w:drawing>
      </w:r>
    </w:p>
    <w:p>
      <w:pPr>
        <w:jc w:val="center"/>
      </w:pPr>
      <w:r>
        <w:rPr>
          <w:rFonts w:ascii="微软雅黑" w:hAnsi="微软雅黑" w:eastAsia="微软雅黑"/>
          <w:color w:val="888888"/>
          <w:sz w:val="18"/>
        </w:rPr>
        <w:t>图4-4 档案鉴定销毁流程</w:t>
      </w:r>
    </w:p>
    <w:p>
      <w:r>
        <w:rPr>
          <w:rFonts w:ascii="微软雅黑" w:hAnsi="微软雅黑" w:eastAsia="微软雅黑"/>
          <w:b/>
          <w:color w:val="00678F"/>
          <w:sz w:val="26"/>
        </w:rPr>
        <w:t>4.6 内容管理（二期建设内容）</w:t>
      </w:r>
    </w:p>
    <w:p>
      <w:pPr>
        <w:pStyle w:val="ListBullet"/>
      </w:pPr>
      <w:r>
        <w:rPr>
          <w:rFonts w:ascii="微软雅黑" w:hAnsi="微软雅黑" w:eastAsia="微软雅黑"/>
        </w:rPr>
        <w:t>内嵌OCR：馆藏图片、扫描件档案文字识别与提取；</w:t>
      </w:r>
    </w:p>
    <w:p>
      <w:pPr>
        <w:pStyle w:val="ListBullet"/>
      </w:pPr>
      <w:r>
        <w:rPr>
          <w:rFonts w:ascii="微软雅黑" w:hAnsi="微软雅黑" w:eastAsia="微软雅黑"/>
        </w:rPr>
        <w:t>内嵌语音识别：视频类档案"语音-文字"转换；</w:t>
      </w:r>
    </w:p>
    <w:p>
      <w:pPr>
        <w:pStyle w:val="ListBullet"/>
      </w:pPr>
      <w:r>
        <w:rPr>
          <w:rFonts w:ascii="微软雅黑" w:hAnsi="微软雅黑" w:eastAsia="微软雅黑"/>
        </w:rPr>
        <w:t>声像档案去重：特征提取与索引、相似比较推荐、一键删除。</w:t>
      </w:r>
    </w:p>
    <w:p>
      <w:r>
        <w:rPr>
          <w:rFonts w:ascii="微软雅黑" w:hAnsi="微软雅黑" w:eastAsia="微软雅黑"/>
          <w:b/>
          <w:color w:val="00678F"/>
          <w:sz w:val="26"/>
        </w:rPr>
        <w:t>4.7 实体档案与虚拟库房管理（三期）</w:t>
      </w:r>
    </w:p>
    <w:p>
      <w:r>
        <w:rPr>
          <w:rFonts w:ascii="微软雅黑" w:hAnsi="微软雅黑" w:eastAsia="微软雅黑"/>
          <w:b w:val="0"/>
          <w:sz w:val="21"/>
        </w:rPr>
        <w:t>库存位置维护、快速定位、存放位置建议、密集架存放情况浏览、库房日常巡检、实体出入库登记、实体消杀登记、虚拟库房配置、温湿度监控、门禁访问登记、条码/二维码盘点。</w:t>
      </w:r>
    </w:p>
    <w:p>
      <w:pPr>
        <w:jc w:val="center"/>
      </w:pPr>
      <w:r>
        <w:drawing>
          <wp:inline xmlns:a="http://schemas.openxmlformats.org/drawingml/2006/main" xmlns:pic="http://schemas.openxmlformats.org/drawingml/2006/picture">
            <wp:extent cx="5580000" cy="2283814"/>
            <wp:docPr id="19" name="Picture 19"/>
            <wp:cNvGraphicFramePr>
              <a:graphicFrameLocks noChangeAspect="1"/>
            </wp:cNvGraphicFramePr>
            <a:graphic>
              <a:graphicData uri="http://schemas.openxmlformats.org/drawingml/2006/picture">
                <pic:pic>
                  <pic:nvPicPr>
                    <pic:cNvPr id="0" name="27-实体库房管理.png"/>
                    <pic:cNvPicPr/>
                  </pic:nvPicPr>
                  <pic:blipFill>
                    <a:blip r:embed="rId27"/>
                    <a:stretch>
                      <a:fillRect/>
                    </a:stretch>
                  </pic:blipFill>
                  <pic:spPr>
                    <a:xfrm>
                      <a:off x="0" y="0"/>
                      <a:ext cx="5580000" cy="2283814"/>
                    </a:xfrm>
                    <a:prstGeom prst="rect"/>
                  </pic:spPr>
                </pic:pic>
              </a:graphicData>
            </a:graphic>
          </wp:inline>
        </w:drawing>
      </w:r>
    </w:p>
    <w:p>
      <w:pPr>
        <w:jc w:val="center"/>
      </w:pPr>
      <w:r>
        <w:rPr>
          <w:rFonts w:ascii="微软雅黑" w:hAnsi="微软雅黑" w:eastAsia="微软雅黑"/>
          <w:color w:val="888888"/>
          <w:sz w:val="18"/>
        </w:rPr>
        <w:t>图4-5 实体档案与虚拟库房管理</w:t>
      </w:r>
    </w:p>
    <w:p>
      <w:r>
        <w:rPr>
          <w:rFonts w:ascii="微软雅黑" w:hAnsi="微软雅黑" w:eastAsia="微软雅黑"/>
          <w:b/>
          <w:color w:val="00678F"/>
          <w:sz w:val="26"/>
        </w:rPr>
        <w:t>4.8 系统配置与安全管理</w:t>
      </w:r>
    </w:p>
    <w:p>
      <w:r>
        <w:rPr>
          <w:rFonts w:ascii="微软雅黑" w:hAnsi="微软雅黑" w:eastAsia="微软雅黑"/>
          <w:b w:val="0"/>
          <w:sz w:val="21"/>
        </w:rPr>
        <w:t>全宗与门类配置、目录与报表配置、流程配置、系统管理、安全管理。</w:t>
      </w:r>
    </w:p>
    <w:p>
      <w:pPr>
        <w:jc w:val="center"/>
      </w:pPr>
      <w:r>
        <w:drawing>
          <wp:inline xmlns:a="http://schemas.openxmlformats.org/drawingml/2006/main" xmlns:pic="http://schemas.openxmlformats.org/drawingml/2006/picture">
            <wp:extent cx="5580000" cy="1757700"/>
            <wp:docPr id="20" name="Picture 20"/>
            <wp:cNvGraphicFramePr>
              <a:graphicFrameLocks noChangeAspect="1"/>
            </wp:cNvGraphicFramePr>
            <a:graphic>
              <a:graphicData uri="http://schemas.openxmlformats.org/drawingml/2006/picture">
                <pic:pic>
                  <pic:nvPicPr>
                    <pic:cNvPr id="0" name="21-系统配置与安全.png"/>
                    <pic:cNvPicPr/>
                  </pic:nvPicPr>
                  <pic:blipFill>
                    <a:blip r:embed="rId28"/>
                    <a:stretch>
                      <a:fillRect/>
                    </a:stretch>
                  </pic:blipFill>
                  <pic:spPr>
                    <a:xfrm>
                      <a:off x="0" y="0"/>
                      <a:ext cx="5580000" cy="1757700"/>
                    </a:xfrm>
                    <a:prstGeom prst="rect"/>
                  </pic:spPr>
                </pic:pic>
              </a:graphicData>
            </a:graphic>
          </wp:inline>
        </w:drawing>
      </w:r>
    </w:p>
    <w:p>
      <w:pPr>
        <w:jc w:val="center"/>
      </w:pPr>
      <w:r>
        <w:rPr>
          <w:rFonts w:ascii="微软雅黑" w:hAnsi="微软雅黑" w:eastAsia="微软雅黑"/>
          <w:color w:val="888888"/>
          <w:sz w:val="18"/>
        </w:rPr>
        <w:t>图4-6 系统配置与安全管理</w:t>
      </w:r>
    </w:p>
    <w:p>
      <w:r>
        <w:br w:type="page"/>
      </w:r>
    </w:p>
    <w:p>
      <w:pPr>
        <w:pBdr>
          <w:bottom w:val="single" w:sz="8" w:color="C70019"/>
        </w:pBdr>
      </w:pPr>
      <w:r>
        <w:rPr>
          <w:rFonts w:ascii="微软雅黑" w:hAnsi="微软雅黑" w:eastAsia="微软雅黑"/>
          <w:b/>
          <w:color w:val="C70019"/>
          <w:sz w:val="32"/>
        </w:rPr>
        <w:t>第5章 共享利用平台详细设计</w:t>
      </w:r>
    </w:p>
    <w:p>
      <w:r>
        <w:rPr>
          <w:rFonts w:ascii="微软雅黑" w:hAnsi="微软雅黑" w:eastAsia="微软雅黑"/>
          <w:b/>
          <w:color w:val="00678F"/>
          <w:sz w:val="26"/>
        </w:rPr>
        <w:t>5.1 检索服务</w:t>
      </w:r>
    </w:p>
    <w:p>
      <w:r>
        <w:rPr>
          <w:rFonts w:ascii="微软雅黑" w:hAnsi="微软雅黑" w:eastAsia="微软雅黑"/>
          <w:b w:val="0"/>
          <w:sz w:val="21"/>
        </w:rPr>
        <w:t>快速检索、高级检索/卡片检索、全文检索、递进二次检索、检索结果排序、目录与专题浏览、词库应用、权限内原文在线浏览打印下载。</w:t>
      </w:r>
    </w:p>
    <w:p>
      <w:pPr>
        <w:jc w:val="center"/>
      </w:pPr>
      <w:r>
        <w:drawing>
          <wp:inline xmlns:a="http://schemas.openxmlformats.org/drawingml/2006/main" xmlns:pic="http://schemas.openxmlformats.org/drawingml/2006/picture">
            <wp:extent cx="5580000" cy="2160257"/>
            <wp:docPr id="21" name="Picture 21"/>
            <wp:cNvGraphicFramePr>
              <a:graphicFrameLocks noChangeAspect="1"/>
            </wp:cNvGraphicFramePr>
            <a:graphic>
              <a:graphicData uri="http://schemas.openxmlformats.org/drawingml/2006/picture">
                <pic:pic>
                  <pic:nvPicPr>
                    <pic:cNvPr id="0" name="16-检索服务体系.png"/>
                    <pic:cNvPicPr/>
                  </pic:nvPicPr>
                  <pic:blipFill>
                    <a:blip r:embed="rId29"/>
                    <a:stretch>
                      <a:fillRect/>
                    </a:stretch>
                  </pic:blipFill>
                  <pic:spPr>
                    <a:xfrm>
                      <a:off x="0" y="0"/>
                      <a:ext cx="5580000" cy="2160257"/>
                    </a:xfrm>
                    <a:prstGeom prst="rect"/>
                  </pic:spPr>
                </pic:pic>
              </a:graphicData>
            </a:graphic>
          </wp:inline>
        </w:drawing>
      </w:r>
    </w:p>
    <w:p>
      <w:pPr>
        <w:jc w:val="center"/>
      </w:pPr>
      <w:r>
        <w:rPr>
          <w:rFonts w:ascii="微软雅黑" w:hAnsi="微软雅黑" w:eastAsia="微软雅黑"/>
          <w:color w:val="888888"/>
          <w:sz w:val="18"/>
        </w:rPr>
        <w:t>图5-1 检索服务体系</w:t>
      </w:r>
    </w:p>
    <w:p>
      <w:r>
        <w:rPr>
          <w:rFonts w:ascii="微软雅黑" w:hAnsi="微软雅黑" w:eastAsia="微软雅黑"/>
          <w:b/>
          <w:color w:val="00678F"/>
          <w:sz w:val="26"/>
        </w:rPr>
        <w:t>5.2 借阅申请与利用审批</w:t>
      </w:r>
    </w:p>
    <w:p>
      <w:r>
        <w:rPr>
          <w:rFonts w:ascii="微软雅黑" w:hAnsi="微软雅黑" w:eastAsia="微软雅黑"/>
          <w:b w:val="0"/>
          <w:sz w:val="21"/>
        </w:rPr>
        <w:t>收藏夹、借阅车、档案订阅；发起申请（电子借阅、实物借出、现场借阅、复制外发）；历史申请查看与审批进度实时了解；利用单管理。</w:t>
      </w:r>
    </w:p>
    <w:p>
      <w:pPr>
        <w:jc w:val="center"/>
      </w:pPr>
      <w:r>
        <w:drawing>
          <wp:inline xmlns:a="http://schemas.openxmlformats.org/drawingml/2006/main" xmlns:pic="http://schemas.openxmlformats.org/drawingml/2006/picture">
            <wp:extent cx="5580000" cy="1972929"/>
            <wp:docPr id="22" name="Picture 22"/>
            <wp:cNvGraphicFramePr>
              <a:graphicFrameLocks noChangeAspect="1"/>
            </wp:cNvGraphicFramePr>
            <a:graphic>
              <a:graphicData uri="http://schemas.openxmlformats.org/drawingml/2006/picture">
                <pic:pic>
                  <pic:nvPicPr>
                    <pic:cNvPr id="0" name="35-借阅与利用.png"/>
                    <pic:cNvPicPr/>
                  </pic:nvPicPr>
                  <pic:blipFill>
                    <a:blip r:embed="rId30"/>
                    <a:stretch>
                      <a:fillRect/>
                    </a:stretch>
                  </pic:blipFill>
                  <pic:spPr>
                    <a:xfrm>
                      <a:off x="0" y="0"/>
                      <a:ext cx="5580000" cy="1972929"/>
                    </a:xfrm>
                    <a:prstGeom prst="rect"/>
                  </pic:spPr>
                </pic:pic>
              </a:graphicData>
            </a:graphic>
          </wp:inline>
        </w:drawing>
      </w:r>
    </w:p>
    <w:p>
      <w:pPr>
        <w:jc w:val="center"/>
      </w:pPr>
      <w:r>
        <w:rPr>
          <w:rFonts w:ascii="微软雅黑" w:hAnsi="微软雅黑" w:eastAsia="微软雅黑"/>
          <w:color w:val="888888"/>
          <w:sz w:val="18"/>
        </w:rPr>
        <w:t>图5-2 借阅申请与利用服务</w:t>
      </w:r>
    </w:p>
    <w:p>
      <w:r>
        <w:rPr>
          <w:rFonts w:ascii="微软雅黑" w:hAnsi="微软雅黑" w:eastAsia="微软雅黑"/>
          <w:b/>
          <w:color w:val="00678F"/>
          <w:sz w:val="26"/>
        </w:rPr>
        <w:t>5.3 普通档案利用流程（十二节点）</w:t>
      </w:r>
    </w:p>
    <w:p>
      <w:r>
        <w:rPr>
          <w:rFonts w:ascii="微软雅黑" w:hAnsi="微软雅黑" w:eastAsia="微软雅黑"/>
          <w:b w:val="0"/>
          <w:sz w:val="21"/>
        </w:rPr>
        <w:t>检索申请→权限判断→一级审批（业务部门分管中干）→二级审批（分管高管）→运营管理部分管档案副部长审批→审查利用流程→准备档案→固定期限内浏览下载→实体归还核对。</w:t>
      </w:r>
    </w:p>
    <w:p>
      <w:pPr>
        <w:jc w:val="center"/>
      </w:pPr>
      <w:r>
        <w:drawing>
          <wp:inline xmlns:a="http://schemas.openxmlformats.org/drawingml/2006/main" xmlns:pic="http://schemas.openxmlformats.org/drawingml/2006/picture">
            <wp:extent cx="5580000" cy="1841400"/>
            <wp:docPr id="23" name="Picture 23"/>
            <wp:cNvGraphicFramePr>
              <a:graphicFrameLocks noChangeAspect="1"/>
            </wp:cNvGraphicFramePr>
            <a:graphic>
              <a:graphicData uri="http://schemas.openxmlformats.org/drawingml/2006/picture">
                <pic:pic>
                  <pic:nvPicPr>
                    <pic:cNvPr id="0" name="15-普通档案利用十二节点.png"/>
                    <pic:cNvPicPr/>
                  </pic:nvPicPr>
                  <pic:blipFill>
                    <a:blip r:embed="rId31"/>
                    <a:stretch>
                      <a:fillRect/>
                    </a:stretch>
                  </pic:blipFill>
                  <pic:spPr>
                    <a:xfrm>
                      <a:off x="0" y="0"/>
                      <a:ext cx="5580000" cy="1841400"/>
                    </a:xfrm>
                    <a:prstGeom prst="rect"/>
                  </pic:spPr>
                </pic:pic>
              </a:graphicData>
            </a:graphic>
          </wp:inline>
        </w:drawing>
      </w:r>
    </w:p>
    <w:p>
      <w:pPr>
        <w:jc w:val="center"/>
      </w:pPr>
      <w:r>
        <w:rPr>
          <w:rFonts w:ascii="微软雅黑" w:hAnsi="微软雅黑" w:eastAsia="微软雅黑"/>
          <w:color w:val="888888"/>
          <w:sz w:val="18"/>
        </w:rPr>
        <w:t>图5-3 普通档案利用流程</w:t>
      </w:r>
    </w:p>
    <w:p>
      <w:r>
        <w:rPr>
          <w:rFonts w:ascii="微软雅黑" w:hAnsi="微软雅黑" w:eastAsia="微软雅黑"/>
          <w:b/>
          <w:color w:val="00678F"/>
          <w:sz w:val="26"/>
        </w:rPr>
        <w:t>5.4 人事档案利用流程（六节点）</w:t>
      </w:r>
    </w:p>
    <w:p>
      <w:r>
        <w:rPr>
          <w:rFonts w:ascii="微软雅黑" w:hAnsi="微软雅黑" w:eastAsia="微软雅黑"/>
          <w:b w:val="0"/>
          <w:sz w:val="21"/>
        </w:rPr>
        <w:t>专员发起（查阅/借出审批表）→单位领导审核→人力资源部审批→任务派发→配合查借阅。</w:t>
      </w:r>
    </w:p>
    <w:p>
      <w:r>
        <w:rPr>
          <w:rFonts w:ascii="微软雅黑" w:hAnsi="微软雅黑" w:eastAsia="微软雅黑"/>
          <w:b/>
          <w:color w:val="00678F"/>
          <w:sz w:val="26"/>
        </w:rPr>
        <w:t>5.5 利用权限管控</w:t>
      </w:r>
    </w:p>
    <w:p>
      <w:r>
        <w:rPr>
          <w:rFonts w:ascii="微软雅黑" w:hAnsi="微软雅黑" w:eastAsia="微软雅黑"/>
          <w:b w:val="0"/>
          <w:sz w:val="21"/>
        </w:rPr>
        <w:t>三级权限体系：规则权限、默认权限、临时权限（利用审批后获取）；控制粒度：在线浏览、下载、借阅实体、下载次数限制。</w:t>
      </w:r>
    </w:p>
    <w:p>
      <w:pPr>
        <w:jc w:val="center"/>
      </w:pPr>
      <w:r>
        <w:drawing>
          <wp:inline xmlns:a="http://schemas.openxmlformats.org/drawingml/2006/main" xmlns:pic="http://schemas.openxmlformats.org/drawingml/2006/picture">
            <wp:extent cx="5580000" cy="4384286"/>
            <wp:docPr id="24" name="Picture 24"/>
            <wp:cNvGraphicFramePr>
              <a:graphicFrameLocks noChangeAspect="1"/>
            </wp:cNvGraphicFramePr>
            <a:graphic>
              <a:graphicData uri="http://schemas.openxmlformats.org/drawingml/2006/picture">
                <pic:pic>
                  <pic:nvPicPr>
                    <pic:cNvPr id="0" name="17-三级权限体系.png"/>
                    <pic:cNvPicPr/>
                  </pic:nvPicPr>
                  <pic:blipFill>
                    <a:blip r:embed="rId32"/>
                    <a:stretch>
                      <a:fillRect/>
                    </a:stretch>
                  </pic:blipFill>
                  <pic:spPr>
                    <a:xfrm>
                      <a:off x="0" y="0"/>
                      <a:ext cx="5580000" cy="4384286"/>
                    </a:xfrm>
                    <a:prstGeom prst="rect"/>
                  </pic:spPr>
                </pic:pic>
              </a:graphicData>
            </a:graphic>
          </wp:inline>
        </w:drawing>
      </w:r>
    </w:p>
    <w:p>
      <w:pPr>
        <w:jc w:val="center"/>
      </w:pPr>
      <w:r>
        <w:rPr>
          <w:rFonts w:ascii="微软雅黑" w:hAnsi="微软雅黑" w:eastAsia="微软雅黑"/>
          <w:color w:val="888888"/>
          <w:sz w:val="18"/>
        </w:rPr>
        <w:t>图5-4 档案利用三级权限体系</w:t>
      </w:r>
    </w:p>
    <w:p>
      <w:r>
        <w:rPr>
          <w:rFonts w:ascii="微软雅黑" w:hAnsi="微软雅黑" w:eastAsia="微软雅黑"/>
          <w:b/>
          <w:color w:val="00678F"/>
          <w:sz w:val="26"/>
        </w:rPr>
        <w:t>5.6 利用安全</w:t>
      </w:r>
    </w:p>
    <w:p>
      <w:r>
        <w:rPr>
          <w:rFonts w:ascii="微软雅黑" w:hAnsi="微软雅黑" w:eastAsia="微软雅黑"/>
          <w:b w:val="0"/>
          <w:sz w:val="21"/>
        </w:rPr>
        <w:t>电子原文访问安全控制：在线浏览控制、在线打印控制、下载控制、防拷贝、防扩散、防篡改；档案摘录：摘录授权、文本类原文内容摘录、复制及原文查看。</w:t>
      </w:r>
    </w:p>
    <w:p>
      <w:r>
        <w:rPr>
          <w:rFonts w:ascii="微软雅黑" w:hAnsi="微软雅黑" w:eastAsia="微软雅黑"/>
          <w:b/>
          <w:color w:val="00678F"/>
          <w:sz w:val="26"/>
        </w:rPr>
        <w:t>5.7 协查与推送</w:t>
      </w:r>
    </w:p>
    <w:p>
      <w:r>
        <w:rPr>
          <w:rFonts w:ascii="微软雅黑" w:hAnsi="微软雅黑" w:eastAsia="微软雅黑"/>
          <w:b w:val="0"/>
          <w:sz w:val="21"/>
        </w:rPr>
        <w:t>协查申请、推送管理、收到的推送。</w:t>
      </w:r>
    </w:p>
    <w:p>
      <w:r>
        <w:rPr>
          <w:rFonts w:ascii="微软雅黑" w:hAnsi="微软雅黑" w:eastAsia="微软雅黑"/>
          <w:b/>
          <w:color w:val="00678F"/>
          <w:sz w:val="26"/>
        </w:rPr>
        <w:t>5.8 实体利用、评价反馈与编研</w:t>
      </w:r>
    </w:p>
    <w:p>
      <w:r>
        <w:rPr>
          <w:rFonts w:ascii="微软雅黑" w:hAnsi="微软雅黑" w:eastAsia="微软雅黑"/>
          <w:b w:val="0"/>
          <w:sz w:val="21"/>
        </w:rPr>
        <w:t>实体借阅登记、实体档案预约/催还/归还/无法归还登记、分批借阅回收、复制外发管理；利用评价、评价回复与评价项自定义、利用效果反馈；档案编研（专题库管理、编研大纲制订、协同编研、专题档案自动归集、编研利用授权申请、编研成果利用、公开专题发布范围设置）。</w:t>
      </w:r>
    </w:p>
    <w:p>
      <w:pPr>
        <w:jc w:val="center"/>
      </w:pPr>
      <w:r>
        <w:drawing>
          <wp:inline xmlns:a="http://schemas.openxmlformats.org/drawingml/2006/main" xmlns:pic="http://schemas.openxmlformats.org/drawingml/2006/picture">
            <wp:extent cx="5580000" cy="1741757"/>
            <wp:docPr id="25" name="Picture 25"/>
            <wp:cNvGraphicFramePr>
              <a:graphicFrameLocks noChangeAspect="1"/>
            </wp:cNvGraphicFramePr>
            <a:graphic>
              <a:graphicData uri="http://schemas.openxmlformats.org/drawingml/2006/picture">
                <pic:pic>
                  <pic:nvPicPr>
                    <pic:cNvPr id="0" name="18-档案编研.png"/>
                    <pic:cNvPicPr/>
                  </pic:nvPicPr>
                  <pic:blipFill>
                    <a:blip r:embed="rId33"/>
                    <a:stretch>
                      <a:fillRect/>
                    </a:stretch>
                  </pic:blipFill>
                  <pic:spPr>
                    <a:xfrm>
                      <a:off x="0" y="0"/>
                      <a:ext cx="5580000" cy="1741757"/>
                    </a:xfrm>
                    <a:prstGeom prst="rect"/>
                  </pic:spPr>
                </pic:pic>
              </a:graphicData>
            </a:graphic>
          </wp:inline>
        </w:drawing>
      </w:r>
    </w:p>
    <w:p>
      <w:pPr>
        <w:jc w:val="center"/>
      </w:pPr>
      <w:r>
        <w:rPr>
          <w:rFonts w:ascii="微软雅黑" w:hAnsi="微软雅黑" w:eastAsia="微软雅黑"/>
          <w:color w:val="888888"/>
          <w:sz w:val="18"/>
        </w:rPr>
        <w:t>图5-5 档案编研管理</w:t>
      </w:r>
    </w:p>
    <w:p>
      <w:r>
        <w:rPr>
          <w:rFonts w:ascii="微软雅黑" w:hAnsi="微软雅黑" w:eastAsia="微软雅黑"/>
          <w:b/>
          <w:color w:val="00678F"/>
          <w:sz w:val="26"/>
        </w:rPr>
        <w:t>5.9 前台与工作台</w:t>
      </w:r>
    </w:p>
    <w:p>
      <w:r>
        <w:rPr>
          <w:rFonts w:ascii="微软雅黑" w:hAnsi="微软雅黑" w:eastAsia="微软雅黑"/>
          <w:b w:val="0"/>
          <w:sz w:val="21"/>
        </w:rPr>
        <w:t>系统前台：利用中心入口（搜索引擎式风格）；工作台：待办中心、消息中心、信息公告、快捷搜索入口、个人设置、个人工作台。</w:t>
      </w:r>
    </w:p>
    <w:p>
      <w:pPr>
        <w:jc w:val="center"/>
      </w:pPr>
      <w:r>
        <w:drawing>
          <wp:inline xmlns:a="http://schemas.openxmlformats.org/drawingml/2006/main" xmlns:pic="http://schemas.openxmlformats.org/drawingml/2006/picture">
            <wp:extent cx="5580000" cy="2471143"/>
            <wp:docPr id="26" name="Picture 26"/>
            <wp:cNvGraphicFramePr>
              <a:graphicFrameLocks noChangeAspect="1"/>
            </wp:cNvGraphicFramePr>
            <a:graphic>
              <a:graphicData uri="http://schemas.openxmlformats.org/drawingml/2006/picture">
                <pic:pic>
                  <pic:nvPicPr>
                    <pic:cNvPr id="0" name="37-前台工作台.png"/>
                    <pic:cNvPicPr/>
                  </pic:nvPicPr>
                  <pic:blipFill>
                    <a:blip r:embed="rId34"/>
                    <a:stretch>
                      <a:fillRect/>
                    </a:stretch>
                  </pic:blipFill>
                  <pic:spPr>
                    <a:xfrm>
                      <a:off x="0" y="0"/>
                      <a:ext cx="5580000" cy="2471143"/>
                    </a:xfrm>
                    <a:prstGeom prst="rect"/>
                  </pic:spPr>
                </pic:pic>
              </a:graphicData>
            </a:graphic>
          </wp:inline>
        </w:drawing>
      </w:r>
    </w:p>
    <w:p>
      <w:pPr>
        <w:jc w:val="center"/>
      </w:pPr>
      <w:r>
        <w:rPr>
          <w:rFonts w:ascii="微软雅黑" w:hAnsi="微软雅黑" w:eastAsia="微软雅黑"/>
          <w:color w:val="888888"/>
          <w:sz w:val="18"/>
        </w:rPr>
        <w:t>图5-6 系统前台与工作台</w:t>
      </w:r>
    </w:p>
    <w:p>
      <w:r>
        <w:br w:type="page"/>
      </w:r>
    </w:p>
    <w:p>
      <w:pPr>
        <w:pBdr>
          <w:bottom w:val="single" w:sz="8" w:color="C70019"/>
        </w:pBdr>
      </w:pPr>
      <w:r>
        <w:rPr>
          <w:rFonts w:ascii="微软雅黑" w:hAnsi="微软雅黑" w:eastAsia="微软雅黑"/>
          <w:b/>
          <w:color w:val="C70019"/>
          <w:sz w:val="32"/>
        </w:rPr>
        <w:t>第6章 长期保存平台详细设计</w:t>
      </w:r>
    </w:p>
    <w:p>
      <w:r>
        <w:rPr>
          <w:rFonts w:ascii="微软雅黑" w:hAnsi="微软雅黑" w:eastAsia="微软雅黑"/>
          <w:b/>
          <w:color w:val="00678F"/>
          <w:sz w:val="26"/>
        </w:rPr>
        <w:t>6.1 AIP封装</w:t>
      </w:r>
    </w:p>
    <w:p>
      <w:r>
        <w:rPr>
          <w:rFonts w:ascii="微软雅黑" w:hAnsi="微软雅黑" w:eastAsia="微软雅黑"/>
          <w:b w:val="0"/>
          <w:sz w:val="21"/>
        </w:rPr>
        <w:t>封装任务管理：自动或手动创建封装任务，按单条档案生成封装文件；AIP封装结构：依照 DA/T 48 及《电子档案移交与接收办法》进行数据封装及信息组织；对档案及封装包开展"四性"检测。</w:t>
      </w:r>
    </w:p>
    <w:p>
      <w:r>
        <w:rPr>
          <w:rFonts w:ascii="微软雅黑" w:hAnsi="微软雅黑" w:eastAsia="微软雅黑"/>
          <w:b/>
          <w:color w:val="00678F"/>
          <w:sz w:val="26"/>
        </w:rPr>
        <w:t>6.2 在线存储与离线存储</w:t>
      </w:r>
    </w:p>
    <w:p>
      <w:r>
        <w:rPr>
          <w:rFonts w:ascii="微软雅黑" w:hAnsi="微软雅黑" w:eastAsia="微软雅黑"/>
          <w:b w:val="0"/>
          <w:sz w:val="21"/>
        </w:rPr>
        <w:t>在线存储：封装文件在线解析、存储；根据指令调取封装文件出库。离线存储：离线载体管理（存储信息登记）、手动下载上传、指定封装文件上传解析与恢复管理、自动刻盘、历史AIP登记；光盘制作。</w:t>
      </w:r>
    </w:p>
    <w:p>
      <w:r>
        <w:rPr>
          <w:rFonts w:ascii="微软雅黑" w:hAnsi="微软雅黑" w:eastAsia="微软雅黑"/>
          <w:b/>
          <w:color w:val="00678F"/>
          <w:sz w:val="26"/>
        </w:rPr>
        <w:t>6.3 档案恢复</w:t>
      </w:r>
    </w:p>
    <w:p>
      <w:r>
        <w:rPr>
          <w:rFonts w:ascii="微软雅黑" w:hAnsi="微软雅黑" w:eastAsia="微软雅黑"/>
          <w:b w:val="0"/>
          <w:sz w:val="21"/>
        </w:rPr>
        <w:t>恢复管理：将长期保存文件信息恢复到档案；恢复前比对验证：管理库档案信息与长期保存文件信息比对验证。</w:t>
      </w:r>
    </w:p>
    <w:p>
      <w:r>
        <w:rPr>
          <w:rFonts w:ascii="微软雅黑" w:hAnsi="微软雅黑" w:eastAsia="微软雅黑"/>
          <w:b/>
          <w:color w:val="00678F"/>
          <w:sz w:val="26"/>
        </w:rPr>
        <w:t>6.4 保存策略</w:t>
      </w:r>
    </w:p>
    <w:p>
      <w:r>
        <w:rPr>
          <w:rFonts w:ascii="微软雅黑" w:hAnsi="微软雅黑" w:eastAsia="微软雅黑"/>
          <w:b w:val="0"/>
          <w:sz w:val="21"/>
        </w:rPr>
        <w:t>多策略协同保存：在线存储+离线存储+第三方存储；定期检测与一致性校验；冷热数据分流。</w:t>
      </w:r>
    </w:p>
    <w:p>
      <w:pPr>
        <w:jc w:val="center"/>
      </w:pPr>
      <w:r>
        <w:drawing>
          <wp:inline xmlns:a="http://schemas.openxmlformats.org/drawingml/2006/main" xmlns:pic="http://schemas.openxmlformats.org/drawingml/2006/picture">
            <wp:extent cx="5580000" cy="1992857"/>
            <wp:docPr id="27" name="Picture 27"/>
            <wp:cNvGraphicFramePr>
              <a:graphicFrameLocks noChangeAspect="1"/>
            </wp:cNvGraphicFramePr>
            <a:graphic>
              <a:graphicData uri="http://schemas.openxmlformats.org/drawingml/2006/picture">
                <pic:pic>
                  <pic:nvPicPr>
                    <pic:cNvPr id="0" name="19-长期保存平台.png"/>
                    <pic:cNvPicPr/>
                  </pic:nvPicPr>
                  <pic:blipFill>
                    <a:blip r:embed="rId35"/>
                    <a:stretch>
                      <a:fillRect/>
                    </a:stretch>
                  </pic:blipFill>
                  <pic:spPr>
                    <a:xfrm>
                      <a:off x="0" y="0"/>
                      <a:ext cx="5580000" cy="1992857"/>
                    </a:xfrm>
                    <a:prstGeom prst="rect"/>
                  </pic:spPr>
                </pic:pic>
              </a:graphicData>
            </a:graphic>
          </wp:inline>
        </w:drawing>
      </w:r>
    </w:p>
    <w:p>
      <w:pPr>
        <w:jc w:val="center"/>
      </w:pPr>
      <w:r>
        <w:rPr>
          <w:rFonts w:ascii="微软雅黑" w:hAnsi="微软雅黑" w:eastAsia="微软雅黑"/>
          <w:color w:val="888888"/>
          <w:sz w:val="18"/>
        </w:rPr>
        <w:t>图6-1 长期保存平台架构</w:t>
      </w:r>
    </w:p>
    <w:p>
      <w:r>
        <w:rPr>
          <w:rFonts w:ascii="微软雅黑" w:hAnsi="微软雅黑" w:eastAsia="微软雅黑"/>
          <w:b/>
          <w:color w:val="00678F"/>
          <w:sz w:val="26"/>
        </w:rPr>
        <w:t>6.5 备份与介质管理</w:t>
      </w:r>
    </w:p>
    <w:p>
      <w:r>
        <w:rPr>
          <w:rFonts w:ascii="微软雅黑" w:hAnsi="微软雅黑" w:eastAsia="微软雅黑"/>
          <w:b w:val="0"/>
          <w:sz w:val="21"/>
        </w:rPr>
        <w:t>自动备份：软件系统、数据库、电子档案三类对象；备份记录；备份数据恢复；存储介质统一管理："磁-光-胶"介质间转换；介质预警；离线存储登记。</w:t>
      </w:r>
    </w:p>
    <w:p>
      <w:r>
        <w:br w:type="page"/>
      </w:r>
    </w:p>
    <w:p>
      <w:pPr>
        <w:pBdr>
          <w:bottom w:val="single" w:sz="8" w:color="C70019"/>
        </w:pBdr>
      </w:pPr>
      <w:r>
        <w:rPr>
          <w:rFonts w:ascii="微软雅黑" w:hAnsi="微软雅黑" w:eastAsia="微软雅黑"/>
          <w:b/>
          <w:color w:val="C70019"/>
          <w:sz w:val="32"/>
        </w:rPr>
        <w:t>第7章 流式文档签发平台详细设计</w:t>
      </w:r>
    </w:p>
    <w:p>
      <w:r>
        <w:rPr>
          <w:rFonts w:ascii="微软雅黑" w:hAnsi="微软雅黑" w:eastAsia="微软雅黑"/>
          <w:b w:val="0"/>
          <w:sz w:val="21"/>
        </w:rPr>
        <w:t>流式文档签发平台独立于档案系统建设，用于解决无业务系统支撑文件的在线成文与签发，可研建议由公司信息化资源自建，本设计予以单列。</w:t>
      </w:r>
    </w:p>
    <w:p>
      <w:pPr>
        <w:jc w:val="center"/>
      </w:pPr>
      <w:r>
        <w:drawing>
          <wp:inline xmlns:a="http://schemas.openxmlformats.org/drawingml/2006/main" xmlns:pic="http://schemas.openxmlformats.org/drawingml/2006/picture">
            <wp:extent cx="5580000" cy="1953000"/>
            <wp:docPr id="28" name="Picture 28"/>
            <wp:cNvGraphicFramePr>
              <a:graphicFrameLocks noChangeAspect="1"/>
            </wp:cNvGraphicFramePr>
            <a:graphic>
              <a:graphicData uri="http://schemas.openxmlformats.org/drawingml/2006/picture">
                <pic:pic>
                  <pic:nvPicPr>
                    <pic:cNvPr id="0" name="25-流式文档签发.png"/>
                    <pic:cNvPicPr/>
                  </pic:nvPicPr>
                  <pic:blipFill>
                    <a:blip r:embed="rId36"/>
                    <a:stretch>
                      <a:fillRect/>
                    </a:stretch>
                  </pic:blipFill>
                  <pic:spPr>
                    <a:xfrm>
                      <a:off x="0" y="0"/>
                      <a:ext cx="5580000" cy="1953000"/>
                    </a:xfrm>
                    <a:prstGeom prst="rect"/>
                  </pic:spPr>
                </pic:pic>
              </a:graphicData>
            </a:graphic>
          </wp:inline>
        </w:drawing>
      </w:r>
    </w:p>
    <w:p>
      <w:pPr>
        <w:jc w:val="center"/>
      </w:pPr>
      <w:r>
        <w:rPr>
          <w:rFonts w:ascii="微软雅黑" w:hAnsi="微软雅黑" w:eastAsia="微软雅黑"/>
          <w:color w:val="888888"/>
          <w:sz w:val="18"/>
        </w:rPr>
        <w:t>图7-1 流式文档签发平台</w:t>
      </w:r>
    </w:p>
    <w:p>
      <w:r>
        <w:rPr>
          <w:rFonts w:ascii="微软雅黑" w:hAnsi="微软雅黑" w:eastAsia="微软雅黑"/>
          <w:b/>
          <w:color w:val="00678F"/>
          <w:sz w:val="26"/>
        </w:rPr>
        <w:t>7.1 文档签发</w:t>
      </w:r>
    </w:p>
    <w:p>
      <w:pPr>
        <w:pStyle w:val="ListBullet"/>
      </w:pPr>
      <w:r>
        <w:rPr>
          <w:rFonts w:ascii="微软雅黑" w:hAnsi="微软雅黑" w:eastAsia="微软雅黑"/>
        </w:rPr>
        <w:t>流式文件上传：文本、表格、幻灯片等各类格式离线上传；</w:t>
      </w:r>
    </w:p>
    <w:p>
      <w:pPr>
        <w:pStyle w:val="ListBullet"/>
      </w:pPr>
      <w:r>
        <w:rPr>
          <w:rFonts w:ascii="微软雅黑" w:hAnsi="微软雅黑" w:eastAsia="微软雅黑"/>
        </w:rPr>
        <w:t>元数据收集：自行填写、自动捕获等方式收集元数据；</w:t>
      </w:r>
    </w:p>
    <w:p>
      <w:pPr>
        <w:pStyle w:val="ListBullet"/>
      </w:pPr>
      <w:r>
        <w:rPr>
          <w:rFonts w:ascii="微软雅黑" w:hAnsi="微软雅黑" w:eastAsia="微软雅黑"/>
        </w:rPr>
        <w:t>自选审批人并触发审批流程，审批流程/待办与苍穹云平台集成；</w:t>
      </w:r>
    </w:p>
    <w:p>
      <w:pPr>
        <w:pStyle w:val="ListBullet"/>
      </w:pPr>
      <w:r>
        <w:rPr>
          <w:rFonts w:ascii="微软雅黑" w:hAnsi="微软雅黑" w:eastAsia="微软雅黑"/>
        </w:rPr>
        <w:t>按配置的元数据方案自动捕获发起人及审批流程相关元数据；</w:t>
      </w:r>
    </w:p>
    <w:p>
      <w:pPr>
        <w:pStyle w:val="ListBullet"/>
      </w:pPr>
      <w:r>
        <w:rPr>
          <w:rFonts w:ascii="微软雅黑" w:hAnsi="微软雅黑" w:eastAsia="微软雅黑"/>
        </w:rPr>
        <w:t>审批通过转OFD版式文件；非文本格式（Excel、PPTX、CAD等）支持页面设置调整显示方式；</w:t>
      </w:r>
    </w:p>
    <w:p>
      <w:pPr>
        <w:pStyle w:val="ListBullet"/>
      </w:pPr>
      <w:r>
        <w:rPr>
          <w:rFonts w:ascii="微软雅黑" w:hAnsi="微软雅黑" w:eastAsia="微软雅黑"/>
        </w:rPr>
        <w:t>按审批参与人信息加盖电子签章，图形化公章、签名显示位置自行配置；</w:t>
      </w:r>
    </w:p>
    <w:p>
      <w:pPr>
        <w:pStyle w:val="ListBullet"/>
      </w:pPr>
      <w:r>
        <w:rPr>
          <w:rFonts w:ascii="微软雅黑" w:hAnsi="微软雅黑" w:eastAsia="微软雅黑"/>
        </w:rPr>
        <w:t>签发文件发送与转发：组织机构中选取接收人员，次数无限制，可选附签发前流式底稿。</w:t>
      </w:r>
    </w:p>
    <w:p>
      <w:r>
        <w:rPr>
          <w:rFonts w:ascii="微软雅黑" w:hAnsi="微软雅黑" w:eastAsia="微软雅黑"/>
          <w:b/>
          <w:color w:val="00678F"/>
          <w:sz w:val="26"/>
        </w:rPr>
        <w:t>7.2 签到签收与任务派发</w:t>
      </w:r>
    </w:p>
    <w:p>
      <w:pPr>
        <w:pStyle w:val="ListBullet"/>
      </w:pPr>
      <w:r>
        <w:rPr>
          <w:rFonts w:ascii="微软雅黑" w:hAnsi="微软雅黑" w:eastAsia="微软雅黑"/>
        </w:rPr>
        <w:t>签到/签收项目创建：项目名称、签收物品、签名人，指定人员、限定时间，生成二维码；</w:t>
      </w:r>
    </w:p>
    <w:p>
      <w:pPr>
        <w:pStyle w:val="ListBullet"/>
      </w:pPr>
      <w:r>
        <w:rPr>
          <w:rFonts w:ascii="微软雅黑" w:hAnsi="微软雅黑" w:eastAsia="微软雅黑"/>
        </w:rPr>
        <w:t>扫码签到/签收：自动捕获姓名、工号、签到/签收时间；</w:t>
      </w:r>
    </w:p>
    <w:p>
      <w:pPr>
        <w:pStyle w:val="ListBullet"/>
      </w:pPr>
      <w:r>
        <w:rPr>
          <w:rFonts w:ascii="微软雅黑" w:hAnsi="微软雅黑" w:eastAsia="微软雅黑"/>
        </w:rPr>
        <w:t>签到签收表成文：成文模板配置、签名图形位置指定、签到信息注入成文模板；</w:t>
      </w:r>
    </w:p>
    <w:p>
      <w:pPr>
        <w:pStyle w:val="ListBullet"/>
      </w:pPr>
      <w:r>
        <w:rPr>
          <w:rFonts w:ascii="微软雅黑" w:hAnsi="微软雅黑" w:eastAsia="微软雅黑"/>
        </w:rPr>
        <w:t>工作任务派发：任务创建、文件模板上传、参与人编制与签发、版式文件及过程数据返回、超时标记提示。</w:t>
      </w:r>
    </w:p>
    <w:p>
      <w:r>
        <w:rPr>
          <w:rFonts w:ascii="微软雅黑" w:hAnsi="微软雅黑" w:eastAsia="微软雅黑"/>
          <w:b/>
          <w:color w:val="00678F"/>
          <w:sz w:val="26"/>
        </w:rPr>
        <w:t>7.3 验真与归档</w:t>
      </w:r>
    </w:p>
    <w:p>
      <w:r>
        <w:rPr>
          <w:rFonts w:ascii="微软雅黑" w:hAnsi="微软雅黑" w:eastAsia="微软雅黑"/>
          <w:b w:val="0"/>
          <w:sz w:val="21"/>
        </w:rPr>
        <w:t>签发文件验真：电子签章有效期内上传查验，识别签章有效性并返回结果，验真结果下载保存；平台电子文件形成归档信息包并通过归档接口向档案系统在线归档。</w:t>
      </w:r>
    </w:p>
    <w:p>
      <w:r>
        <w:br w:type="page"/>
      </w:r>
    </w:p>
    <w:p>
      <w:pPr>
        <w:pBdr>
          <w:bottom w:val="single" w:sz="8" w:color="C70019"/>
        </w:pBdr>
      </w:pPr>
      <w:r>
        <w:rPr>
          <w:rFonts w:ascii="微软雅黑" w:hAnsi="微软雅黑" w:eastAsia="微软雅黑"/>
          <w:b/>
          <w:color w:val="C70019"/>
          <w:sz w:val="32"/>
        </w:rPr>
        <w:t>第8章 业务系统集成与数据交互详细设计</w:t>
      </w:r>
    </w:p>
    <w:p>
      <w:r>
        <w:rPr>
          <w:rFonts w:ascii="微软雅黑" w:hAnsi="微软雅黑" w:eastAsia="微软雅黑"/>
          <w:b/>
          <w:color w:val="00678F"/>
          <w:sz w:val="26"/>
        </w:rPr>
        <w:t>8.1 在线归档接口</w:t>
      </w:r>
    </w:p>
    <w:p>
      <w:r>
        <w:rPr>
          <w:rFonts w:ascii="微软雅黑" w:hAnsi="微软雅黑" w:eastAsia="微软雅黑"/>
          <w:b w:val="0"/>
          <w:sz w:val="21"/>
        </w:rPr>
        <w:t>档案数据接收平台与归档接口承接电子文件归档要求，遵循"来源可靠、程序规范、要素合规、安全管理"原则，把归档范围、元数据捕获节点、分类与组卷规则、自动封装、定时推送、"四性"检测方案固化在接口中自动执行；并按业务系统改造程度提供数据保存、简单接收、管理合规、单套保存四级接入。</w:t>
      </w:r>
    </w:p>
    <w:p>
      <w:r>
        <w:rPr>
          <w:rFonts w:ascii="微软雅黑" w:hAnsi="微软雅黑" w:eastAsia="微软雅黑"/>
          <w:b/>
          <w:color w:val="00678F"/>
          <w:sz w:val="26"/>
        </w:rPr>
        <w:t>8.2 一期九系统清单及归档数据范围</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序号</w:t>
            </w:r>
          </w:p>
        </w:tc>
        <w:tc>
          <w:tcPr>
            <w:tcW w:type="dxa" w:w="3024"/>
            <w:shd w:val="clear" w:color="auto" w:fill="C70019"/>
          </w:tcPr>
          <w:p>
            <w:pPr>
              <w:jc w:val="center"/>
            </w:pPr>
            <w:r/>
            <w:r>
              <w:rPr>
                <w:rFonts w:ascii="微软雅黑" w:hAnsi="微软雅黑" w:eastAsia="微软雅黑"/>
                <w:b/>
                <w:color w:val="FFFFFF"/>
                <w:sz w:val="18"/>
              </w:rPr>
              <w:t>业务系统</w:t>
            </w:r>
          </w:p>
        </w:tc>
        <w:tc>
          <w:tcPr>
            <w:tcW w:type="dxa" w:w="3024"/>
            <w:shd w:val="clear" w:color="auto" w:fill="C70019"/>
          </w:tcPr>
          <w:p>
            <w:pPr>
              <w:jc w:val="center"/>
            </w:pPr>
            <w:r/>
            <w:r>
              <w:rPr>
                <w:rFonts w:ascii="微软雅黑" w:hAnsi="微软雅黑" w:eastAsia="微软雅黑"/>
                <w:b/>
                <w:color w:val="FFFFFF"/>
                <w:sz w:val="18"/>
              </w:rPr>
              <w:t>主要归档数据范围</w:t>
            </w:r>
          </w:p>
        </w:tc>
      </w:tr>
      <w:tr>
        <w:tc>
          <w:tcPr>
            <w:tcW w:type="dxa" w:w="3024"/>
          </w:tcPr>
          <w:p>
            <w:r/>
            <w:r>
              <w:rPr>
                <w:rFonts w:ascii="微软雅黑" w:hAnsi="微软雅黑" w:eastAsia="微软雅黑"/>
                <w:sz w:val="17"/>
              </w:rPr>
              <w:t>1</w:t>
            </w:r>
          </w:p>
        </w:tc>
        <w:tc>
          <w:tcPr>
            <w:tcW w:type="dxa" w:w="3024"/>
          </w:tcPr>
          <w:p>
            <w:r/>
            <w:r>
              <w:rPr>
                <w:rFonts w:ascii="微软雅黑" w:hAnsi="微软雅黑" w:eastAsia="微软雅黑"/>
                <w:sz w:val="17"/>
              </w:rPr>
              <w:t>S-hr系统</w:t>
            </w:r>
          </w:p>
        </w:tc>
        <w:tc>
          <w:tcPr>
            <w:tcW w:type="dxa" w:w="3024"/>
          </w:tcPr>
          <w:p>
            <w:r/>
            <w:r>
              <w:rPr>
                <w:rFonts w:ascii="微软雅黑" w:hAnsi="微软雅黑" w:eastAsia="微软雅黑"/>
                <w:sz w:val="17"/>
              </w:rPr>
              <w:t>录用批准单、员工基本信息资料、电子劳动合同与电子保密协议、各类人事令、绩效考核计划与结果、培训计划与项目信息表及佐证材料</w:t>
            </w:r>
          </w:p>
        </w:tc>
      </w:tr>
      <w:tr>
        <w:tc>
          <w:tcPr>
            <w:tcW w:type="dxa" w:w="3024"/>
            <w:shd w:val="clear" w:color="auto" w:fill="F2F1EE"/>
          </w:tcPr>
          <w:p>
            <w:r/>
            <w:r>
              <w:rPr>
                <w:rFonts w:ascii="微软雅黑" w:hAnsi="微软雅黑" w:eastAsia="微软雅黑"/>
                <w:sz w:val="17"/>
              </w:rPr>
              <w:t>2</w:t>
            </w:r>
          </w:p>
        </w:tc>
        <w:tc>
          <w:tcPr>
            <w:tcW w:type="dxa" w:w="3024"/>
            <w:shd w:val="clear" w:color="auto" w:fill="F2F1EE"/>
          </w:tcPr>
          <w:p>
            <w:r/>
            <w:r>
              <w:rPr>
                <w:rFonts w:ascii="微软雅黑" w:hAnsi="微软雅黑" w:eastAsia="微软雅黑"/>
                <w:sz w:val="17"/>
              </w:rPr>
              <w:t>科技管理信息化平台（苍穹信创库）</w:t>
            </w:r>
          </w:p>
        </w:tc>
        <w:tc>
          <w:tcPr>
            <w:tcW w:type="dxa" w:w="3024"/>
            <w:shd w:val="clear" w:color="auto" w:fill="F2F1EE"/>
          </w:tcPr>
          <w:p>
            <w:r/>
            <w:r>
              <w:rPr>
                <w:rFonts w:ascii="微软雅黑" w:hAnsi="微软雅黑" w:eastAsia="微软雅黑"/>
                <w:sz w:val="17"/>
              </w:rPr>
              <w:t>科研项目管理全过程文件、外部科研项目管理文件、科研费用管控文件、科技成果评价文件、科技平台管理文件、科研评审资料及专家意见、研发委外申请单与委外合同登记表</w:t>
            </w:r>
          </w:p>
        </w:tc>
      </w:tr>
      <w:tr>
        <w:tc>
          <w:tcPr>
            <w:tcW w:type="dxa" w:w="3024"/>
          </w:tcPr>
          <w:p>
            <w:r/>
            <w:r>
              <w:rPr>
                <w:rFonts w:ascii="微软雅黑" w:hAnsi="微软雅黑" w:eastAsia="微软雅黑"/>
                <w:sz w:val="17"/>
              </w:rPr>
              <w:t>3</w:t>
            </w:r>
          </w:p>
        </w:tc>
        <w:tc>
          <w:tcPr>
            <w:tcW w:type="dxa" w:w="3024"/>
          </w:tcPr>
          <w:p>
            <w:r/>
            <w:r>
              <w:rPr>
                <w:rFonts w:ascii="微软雅黑" w:hAnsi="微软雅黑" w:eastAsia="微软雅黑"/>
                <w:sz w:val="17"/>
              </w:rPr>
              <w:t>中车购2.0</w:t>
            </w:r>
          </w:p>
        </w:tc>
        <w:tc>
          <w:tcPr>
            <w:tcW w:type="dxa" w:w="3024"/>
          </w:tcPr>
          <w:p>
            <w:r/>
            <w:r>
              <w:rPr>
                <w:rFonts w:ascii="微软雅黑" w:hAnsi="微软雅黑" w:eastAsia="微软雅黑"/>
                <w:sz w:val="17"/>
              </w:rPr>
              <w:t>采购发起环节文件、四类采购方式全过程文件、采购合同（全电合同、线上合同、纸质合同扫描件）</w:t>
            </w:r>
          </w:p>
        </w:tc>
      </w:tr>
      <w:tr>
        <w:tc>
          <w:tcPr>
            <w:tcW w:type="dxa" w:w="3024"/>
            <w:shd w:val="clear" w:color="auto" w:fill="F2F1EE"/>
          </w:tcPr>
          <w:p>
            <w:r/>
            <w:r>
              <w:rPr>
                <w:rFonts w:ascii="微软雅黑" w:hAnsi="微软雅黑" w:eastAsia="微软雅黑"/>
                <w:sz w:val="17"/>
              </w:rPr>
              <w:t>4</w:t>
            </w:r>
          </w:p>
        </w:tc>
        <w:tc>
          <w:tcPr>
            <w:tcW w:type="dxa" w:w="3024"/>
            <w:shd w:val="clear" w:color="auto" w:fill="F2F1EE"/>
          </w:tcPr>
          <w:p>
            <w:r/>
            <w:r>
              <w:rPr>
                <w:rFonts w:ascii="微软雅黑" w:hAnsi="微软雅黑" w:eastAsia="微软雅黑"/>
                <w:sz w:val="17"/>
              </w:rPr>
              <w:t>EAS</w:t>
            </w:r>
          </w:p>
        </w:tc>
        <w:tc>
          <w:tcPr>
            <w:tcW w:type="dxa" w:w="3024"/>
            <w:shd w:val="clear" w:color="auto" w:fill="F2F1EE"/>
          </w:tcPr>
          <w:p>
            <w:r/>
            <w:r>
              <w:rPr>
                <w:rFonts w:ascii="微软雅黑" w:hAnsi="微软雅黑" w:eastAsia="微软雅黑"/>
                <w:sz w:val="17"/>
              </w:rPr>
              <w:t>会计档案（记账凭证、总账/明细账/日记账/固定资产卡片、余额调节表）、物料与产品管理文件</w:t>
            </w:r>
          </w:p>
        </w:tc>
      </w:tr>
      <w:tr>
        <w:tc>
          <w:tcPr>
            <w:tcW w:type="dxa" w:w="3024"/>
          </w:tcPr>
          <w:p>
            <w:r/>
            <w:r>
              <w:rPr>
                <w:rFonts w:ascii="微软雅黑" w:hAnsi="微软雅黑" w:eastAsia="微软雅黑"/>
                <w:sz w:val="17"/>
              </w:rPr>
              <w:t>5</w:t>
            </w:r>
          </w:p>
        </w:tc>
        <w:tc>
          <w:tcPr>
            <w:tcW w:type="dxa" w:w="3024"/>
          </w:tcPr>
          <w:p>
            <w:r/>
            <w:r>
              <w:rPr>
                <w:rFonts w:ascii="微软雅黑" w:hAnsi="微软雅黑" w:eastAsia="微软雅黑"/>
                <w:sz w:val="17"/>
              </w:rPr>
              <w:t>中车公文处理系统（OA）</w:t>
            </w:r>
          </w:p>
        </w:tc>
        <w:tc>
          <w:tcPr>
            <w:tcW w:type="dxa" w:w="3024"/>
          </w:tcPr>
          <w:p>
            <w:r/>
            <w:r>
              <w:rPr>
                <w:rFonts w:ascii="微软雅黑" w:hAnsi="微软雅黑" w:eastAsia="微软雅黑"/>
                <w:sz w:val="17"/>
              </w:rPr>
              <w:t>公司发文、公司收文、通知、签报、日常办公文件</w:t>
            </w:r>
          </w:p>
        </w:tc>
      </w:tr>
      <w:tr>
        <w:tc>
          <w:tcPr>
            <w:tcW w:type="dxa" w:w="3024"/>
            <w:shd w:val="clear" w:color="auto" w:fill="F2F1EE"/>
          </w:tcPr>
          <w:p>
            <w:r/>
            <w:r>
              <w:rPr>
                <w:rFonts w:ascii="微软雅黑" w:hAnsi="微软雅黑" w:eastAsia="微软雅黑"/>
                <w:sz w:val="17"/>
              </w:rPr>
              <w:t>6</w:t>
            </w:r>
          </w:p>
        </w:tc>
        <w:tc>
          <w:tcPr>
            <w:tcW w:type="dxa" w:w="3024"/>
            <w:shd w:val="clear" w:color="auto" w:fill="F2F1EE"/>
          </w:tcPr>
          <w:p>
            <w:r/>
            <w:r>
              <w:rPr>
                <w:rFonts w:ascii="微软雅黑" w:hAnsi="微软雅黑" w:eastAsia="微软雅黑"/>
                <w:sz w:val="17"/>
              </w:rPr>
              <w:t>TeamCenter（TC）</w:t>
            </w:r>
          </w:p>
        </w:tc>
        <w:tc>
          <w:tcPr>
            <w:tcW w:type="dxa" w:w="3024"/>
            <w:shd w:val="clear" w:color="auto" w:fill="F2F1EE"/>
          </w:tcPr>
          <w:p>
            <w:r/>
            <w:r>
              <w:rPr>
                <w:rFonts w:ascii="微软雅黑" w:hAnsi="微软雅黑" w:eastAsia="微软雅黑"/>
                <w:sz w:val="17"/>
              </w:rPr>
              <w:t>设计类（图纸、技术文件、仿真计算分析报告、BOM）、工艺类（工艺流程表、工艺规程、原材料定额单、BOE）、变更执行类、其他通用/专用工艺文件</w:t>
            </w:r>
          </w:p>
        </w:tc>
      </w:tr>
      <w:tr>
        <w:tc>
          <w:tcPr>
            <w:tcW w:type="dxa" w:w="3024"/>
          </w:tcPr>
          <w:p>
            <w:r/>
            <w:r>
              <w:rPr>
                <w:rFonts w:ascii="微软雅黑" w:hAnsi="微软雅黑" w:eastAsia="微软雅黑"/>
                <w:sz w:val="17"/>
              </w:rPr>
              <w:t>7</w:t>
            </w:r>
          </w:p>
        </w:tc>
        <w:tc>
          <w:tcPr>
            <w:tcW w:type="dxa" w:w="3024"/>
          </w:tcPr>
          <w:p>
            <w:r/>
            <w:r>
              <w:rPr>
                <w:rFonts w:ascii="微软雅黑" w:hAnsi="微软雅黑" w:eastAsia="微软雅黑"/>
                <w:sz w:val="17"/>
              </w:rPr>
              <w:t>计量理化系统（LIMS）</w:t>
            </w:r>
          </w:p>
        </w:tc>
        <w:tc>
          <w:tcPr>
            <w:tcW w:type="dxa" w:w="3024"/>
          </w:tcPr>
          <w:p>
            <w:r/>
            <w:r>
              <w:rPr>
                <w:rFonts w:ascii="微软雅黑" w:hAnsi="微软雅黑" w:eastAsia="微软雅黑"/>
                <w:sz w:val="17"/>
              </w:rPr>
              <w:t>测量设备管理、计量、计量工作子流程单据、理化、理化工作子流程单据、质量体系管理资料</w:t>
            </w:r>
          </w:p>
        </w:tc>
      </w:tr>
      <w:tr>
        <w:tc>
          <w:tcPr>
            <w:tcW w:type="dxa" w:w="3024"/>
            <w:shd w:val="clear" w:color="auto" w:fill="F2F1EE"/>
          </w:tcPr>
          <w:p>
            <w:r/>
            <w:r>
              <w:rPr>
                <w:rFonts w:ascii="微软雅黑" w:hAnsi="微软雅黑" w:eastAsia="微软雅黑"/>
                <w:sz w:val="17"/>
              </w:rPr>
              <w:t>8</w:t>
            </w:r>
          </w:p>
        </w:tc>
        <w:tc>
          <w:tcPr>
            <w:tcW w:type="dxa" w:w="3024"/>
            <w:shd w:val="clear" w:color="auto" w:fill="F2F1EE"/>
          </w:tcPr>
          <w:p>
            <w:r/>
            <w:r>
              <w:rPr>
                <w:rFonts w:ascii="微软雅黑" w:hAnsi="微软雅黑" w:eastAsia="微软雅黑"/>
                <w:sz w:val="17"/>
              </w:rPr>
              <w:t>试验管理系统（TDM）</w:t>
            </w:r>
          </w:p>
        </w:tc>
        <w:tc>
          <w:tcPr>
            <w:tcW w:type="dxa" w:w="3024"/>
            <w:shd w:val="clear" w:color="auto" w:fill="F2F1EE"/>
          </w:tcPr>
          <w:p>
            <w:r/>
            <w:r>
              <w:rPr>
                <w:rFonts w:ascii="微软雅黑" w:hAnsi="微软雅黑" w:eastAsia="微软雅黑"/>
                <w:sz w:val="17"/>
              </w:rPr>
              <w:t>实验室能力管理、试验管理、试验情况督查（一期不纳入，三期建设）</w:t>
            </w:r>
          </w:p>
        </w:tc>
      </w:tr>
      <w:tr>
        <w:tc>
          <w:tcPr>
            <w:tcW w:type="dxa" w:w="3024"/>
          </w:tcPr>
          <w:p>
            <w:r/>
            <w:r>
              <w:rPr>
                <w:rFonts w:ascii="微软雅黑" w:hAnsi="微软雅黑" w:eastAsia="微软雅黑"/>
                <w:sz w:val="17"/>
              </w:rPr>
              <w:t>9</w:t>
            </w:r>
          </w:p>
        </w:tc>
        <w:tc>
          <w:tcPr>
            <w:tcW w:type="dxa" w:w="3024"/>
          </w:tcPr>
          <w:p>
            <w:r/>
            <w:r>
              <w:rPr>
                <w:rFonts w:ascii="微软雅黑" w:hAnsi="微软雅黑" w:eastAsia="微软雅黑"/>
                <w:sz w:val="17"/>
              </w:rPr>
              <w:t>苍穹云平台其他应用程序</w:t>
            </w:r>
          </w:p>
        </w:tc>
        <w:tc>
          <w:tcPr>
            <w:tcW w:type="dxa" w:w="3024"/>
          </w:tcPr>
          <w:p>
            <w:r/>
            <w:r>
              <w:rPr>
                <w:rFonts w:ascii="微软雅黑" w:hAnsi="微软雅黑" w:eastAsia="微软雅黑"/>
                <w:sz w:val="17"/>
              </w:rPr>
              <w:t>各应用程序单据及其审批流数据</w:t>
            </w:r>
          </w:p>
        </w:tc>
      </w:tr>
    </w:tbl>
    <w:p/>
    <w:p>
      <w:r>
        <w:rPr>
          <w:rFonts w:ascii="微软雅黑" w:hAnsi="微软雅黑" w:eastAsia="微软雅黑"/>
          <w:b/>
          <w:color w:val="00678F"/>
          <w:sz w:val="26"/>
        </w:rPr>
        <w:t>8.3 外部系统集成</w:t>
      </w:r>
    </w:p>
    <w:p>
      <w:pPr>
        <w:jc w:val="center"/>
      </w:pPr>
      <w:r>
        <w:drawing>
          <wp:inline xmlns:a="http://schemas.openxmlformats.org/drawingml/2006/main" xmlns:pic="http://schemas.openxmlformats.org/drawingml/2006/picture">
            <wp:extent cx="5580000" cy="1725814"/>
            <wp:docPr id="29" name="Picture 29"/>
            <wp:cNvGraphicFramePr>
              <a:graphicFrameLocks noChangeAspect="1"/>
            </wp:cNvGraphicFramePr>
            <a:graphic>
              <a:graphicData uri="http://schemas.openxmlformats.org/drawingml/2006/picture">
                <pic:pic>
                  <pic:nvPicPr>
                    <pic:cNvPr id="0" name="22-平台集成与报送.png"/>
                    <pic:cNvPicPr/>
                  </pic:nvPicPr>
                  <pic:blipFill>
                    <a:blip r:embed="rId37"/>
                    <a:stretch>
                      <a:fillRect/>
                    </a:stretch>
                  </pic:blipFill>
                  <pic:spPr>
                    <a:xfrm>
                      <a:off x="0" y="0"/>
                      <a:ext cx="5580000" cy="1725814"/>
                    </a:xfrm>
                    <a:prstGeom prst="rect"/>
                  </pic:spPr>
                </pic:pic>
              </a:graphicData>
            </a:graphic>
          </wp:inline>
        </w:drawing>
      </w:r>
    </w:p>
    <w:p>
      <w:pPr>
        <w:jc w:val="center"/>
      </w:pPr>
      <w:r>
        <w:rPr>
          <w:rFonts w:ascii="微软雅黑" w:hAnsi="微软雅黑" w:eastAsia="微软雅黑"/>
          <w:color w:val="888888"/>
          <w:sz w:val="18"/>
        </w:rPr>
        <w:t>图8-1 平台集成与数据交互</w:t>
      </w:r>
    </w:p>
    <w:p>
      <w:pPr>
        <w:pStyle w:val="ListBullet"/>
      </w:pPr>
      <w:r>
        <w:rPr>
          <w:rFonts w:ascii="微软雅黑" w:hAnsi="微软雅黑" w:eastAsia="微软雅黑"/>
        </w:rPr>
        <w:t>S-hr系统接口：获取公司组织机构、人员信息（一级部门、业务组名称、人员基本信息、职位、联系方式）；</w:t>
      </w:r>
    </w:p>
    <w:p>
      <w:pPr>
        <w:pStyle w:val="ListBullet"/>
      </w:pPr>
      <w:r>
        <w:rPr>
          <w:rFonts w:ascii="微软雅黑" w:hAnsi="微软雅黑" w:eastAsia="微软雅黑"/>
        </w:rPr>
        <w:t>公司域库接口：获取用户账户信息（姓名、12位工号账号等）；</w:t>
      </w:r>
    </w:p>
    <w:p>
      <w:pPr>
        <w:pStyle w:val="ListBullet"/>
      </w:pPr>
      <w:r>
        <w:rPr>
          <w:rFonts w:ascii="微软雅黑" w:hAnsi="微软雅黑" w:eastAsia="微软雅黑"/>
        </w:rPr>
        <w:t>SSO单点登录：与门户或统一认证平台完成统一认证和单点登录；</w:t>
      </w:r>
    </w:p>
    <w:p>
      <w:pPr>
        <w:pStyle w:val="ListBullet"/>
      </w:pPr>
      <w:r>
        <w:rPr>
          <w:rFonts w:ascii="微软雅黑" w:hAnsi="微软雅黑" w:eastAsia="微软雅黑"/>
        </w:rPr>
        <w:t>苍穹云平台集成：统一待办集成（推和拉两种方式）——档案利用申请单、文件移交归档单、档案鉴定处置单待办推送；审批信息回传；</w:t>
      </w:r>
    </w:p>
    <w:p>
      <w:pPr>
        <w:pStyle w:val="ListBullet"/>
      </w:pPr>
      <w:r>
        <w:rPr>
          <w:rFonts w:ascii="微软雅黑" w:hAnsi="微软雅黑" w:eastAsia="微软雅黑"/>
        </w:rPr>
        <w:t>集团数据报送：向中车数字档案馆子系统推送公司各门类档案目录数据、全国档案事业统计年报统计数据、档案监督检查方案与自评结果及集团复核结果。</w:t>
      </w:r>
    </w:p>
    <w:p>
      <w:r>
        <w:rPr>
          <w:rFonts w:ascii="微软雅黑" w:hAnsi="微软雅黑" w:eastAsia="微软雅黑"/>
          <w:b/>
          <w:color w:val="00678F"/>
          <w:sz w:val="26"/>
        </w:rPr>
        <w:t>8.4 格式与元数据要求</w:t>
      </w:r>
    </w:p>
    <w:p>
      <w:r>
        <w:rPr>
          <w:rFonts w:ascii="微软雅黑" w:hAnsi="微软雅黑" w:eastAsia="微软雅黑"/>
          <w:b w:val="0"/>
          <w:sz w:val="21"/>
        </w:rPr>
        <w:t>各业务系统原则上应按《电子档案单套管理一般要求》（DA/T 92）7.1要求建设电子文件归档功能：一是具备电子文件流转和安全认证功能；二是按 GB/T 18894 格式要求形成电子文件及组件；三是自动采集电子文件元数据并形成规范结构化数据（XML）；四是生成包含电子文件及其元数据的归档信息包（DA/T 48-2009封装）；五是支持调用归档接口在线传输移交。</w:t>
      </w:r>
    </w:p>
    <w:p>
      <w:r>
        <w:rPr>
          <w:rFonts w:ascii="微软雅黑" w:hAnsi="微软雅黑" w:eastAsia="微软雅黑"/>
          <w:b w:val="0"/>
          <w:sz w:val="21"/>
        </w:rPr>
        <w:t>各类别电子文件元数据项组成及数据约束规则来源：电子公文遵 DA/T 46-2009 及 DA/T 32-2021；一般文本类遵 DA/T 46-2009；照片类遵 DA/T 54-2014；音频视频类遵 DA/T 63-2017；网页类遵 DA/T 80-2019；数字化副本按目录数据捕获并补充数字化授权信息等。</w:t>
      </w:r>
    </w:p>
    <w:p>
      <w:r>
        <w:br w:type="page"/>
      </w:r>
    </w:p>
    <w:p>
      <w:pPr>
        <w:pBdr>
          <w:bottom w:val="single" w:sz="8" w:color="C70019"/>
        </w:pBdr>
      </w:pPr>
      <w:r>
        <w:rPr>
          <w:rFonts w:ascii="微软雅黑" w:hAnsi="微软雅黑" w:eastAsia="微软雅黑"/>
          <w:b/>
          <w:color w:val="C70019"/>
          <w:sz w:val="32"/>
        </w:rPr>
        <w:t>第9章 制度规范体系设计</w:t>
      </w:r>
    </w:p>
    <w:p>
      <w:r>
        <w:rPr>
          <w:rFonts w:ascii="微软雅黑" w:hAnsi="微软雅黑" w:eastAsia="微软雅黑"/>
          <w:b w:val="0"/>
          <w:sz w:val="21"/>
        </w:rPr>
        <w:t>建立"管理制度＋技术规范"双层制度规范体系，保障系统运行与业务合规。</w:t>
      </w:r>
    </w:p>
    <w:p>
      <w:pPr>
        <w:jc w:val="center"/>
      </w:pPr>
      <w:r>
        <w:drawing>
          <wp:inline xmlns:a="http://schemas.openxmlformats.org/drawingml/2006/main" xmlns:pic="http://schemas.openxmlformats.org/drawingml/2006/picture">
            <wp:extent cx="5580000" cy="2124386"/>
            <wp:docPr id="30" name="Picture 30"/>
            <wp:cNvGraphicFramePr>
              <a:graphicFrameLocks noChangeAspect="1"/>
            </wp:cNvGraphicFramePr>
            <a:graphic>
              <a:graphicData uri="http://schemas.openxmlformats.org/drawingml/2006/picture">
                <pic:pic>
                  <pic:nvPicPr>
                    <pic:cNvPr id="0" name="29-制度体系.png"/>
                    <pic:cNvPicPr/>
                  </pic:nvPicPr>
                  <pic:blipFill>
                    <a:blip r:embed="rId38"/>
                    <a:stretch>
                      <a:fillRect/>
                    </a:stretch>
                  </pic:blipFill>
                  <pic:spPr>
                    <a:xfrm>
                      <a:off x="0" y="0"/>
                      <a:ext cx="5580000" cy="2124386"/>
                    </a:xfrm>
                    <a:prstGeom prst="rect"/>
                  </pic:spPr>
                </pic:pic>
              </a:graphicData>
            </a:graphic>
          </wp:inline>
        </w:drawing>
      </w:r>
    </w:p>
    <w:p>
      <w:pPr>
        <w:jc w:val="center"/>
      </w:pPr>
      <w:r>
        <w:rPr>
          <w:rFonts w:ascii="微软雅黑" w:hAnsi="微软雅黑" w:eastAsia="微软雅黑"/>
          <w:color w:val="888888"/>
          <w:sz w:val="18"/>
        </w:rPr>
        <w:t>图9-1 制度规范体系</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类别</w:t>
            </w:r>
          </w:p>
        </w:tc>
        <w:tc>
          <w:tcPr>
            <w:tcW w:type="dxa" w:w="4536"/>
            <w:shd w:val="clear" w:color="auto" w:fill="C70019"/>
          </w:tcPr>
          <w:p>
            <w:pPr>
              <w:jc w:val="center"/>
            </w:pPr>
            <w:r/>
            <w:r>
              <w:rPr>
                <w:rFonts w:ascii="微软雅黑" w:hAnsi="微软雅黑" w:eastAsia="微软雅黑"/>
                <w:b/>
                <w:color w:val="FFFFFF"/>
                <w:sz w:val="18"/>
              </w:rPr>
              <w:t>制度规范名称</w:t>
            </w:r>
          </w:p>
        </w:tc>
      </w:tr>
      <w:tr>
        <w:tc>
          <w:tcPr>
            <w:tcW w:type="dxa" w:w="4536"/>
          </w:tcPr>
          <w:p>
            <w:r/>
            <w:r>
              <w:rPr>
                <w:rFonts w:ascii="微软雅黑" w:hAnsi="微软雅黑" w:eastAsia="微软雅黑"/>
                <w:sz w:val="17"/>
              </w:rPr>
              <w:t>管理制度</w:t>
            </w:r>
          </w:p>
        </w:tc>
        <w:tc>
          <w:tcPr>
            <w:tcW w:type="dxa" w:w="4536"/>
          </w:tcPr>
          <w:p>
            <w:r/>
            <w:r>
              <w:rPr>
                <w:rFonts w:ascii="微软雅黑" w:hAnsi="微软雅黑" w:eastAsia="微软雅黑"/>
                <w:sz w:val="17"/>
              </w:rPr>
              <w:t>档案管理办法、电子文件归档与电子档案管理办法、档案管理系统运行维护管理办法、档案管理系统安全与保密管理办法、档案服务外包管理办法、档案库房管理细则、档案工作突发事件应急预案</w:t>
            </w:r>
          </w:p>
        </w:tc>
      </w:tr>
      <w:tr>
        <w:tc>
          <w:tcPr>
            <w:tcW w:type="dxa" w:w="4536"/>
            <w:shd w:val="clear" w:color="auto" w:fill="F2F1EE"/>
          </w:tcPr>
          <w:p>
            <w:r/>
            <w:r>
              <w:rPr>
                <w:rFonts w:ascii="微软雅黑" w:hAnsi="微软雅黑" w:eastAsia="微软雅黑"/>
                <w:sz w:val="17"/>
              </w:rPr>
              <w:t>业务类</w:t>
            </w:r>
          </w:p>
        </w:tc>
        <w:tc>
          <w:tcPr>
            <w:tcW w:type="dxa" w:w="4536"/>
            <w:shd w:val="clear" w:color="auto" w:fill="F2F1EE"/>
          </w:tcPr>
          <w:p>
            <w:r/>
            <w:r>
              <w:rPr>
                <w:rFonts w:ascii="微软雅黑" w:hAnsi="微软雅黑" w:eastAsia="微软雅黑"/>
                <w:sz w:val="17"/>
              </w:rPr>
              <w:t>档案分类方案、归档范围和管理规范、传统载体档案数字化规范</w:t>
            </w:r>
          </w:p>
        </w:tc>
      </w:tr>
      <w:tr>
        <w:tc>
          <w:tcPr>
            <w:tcW w:type="dxa" w:w="4536"/>
          </w:tcPr>
          <w:p>
            <w:r/>
            <w:r>
              <w:rPr>
                <w:rFonts w:ascii="微软雅黑" w:hAnsi="微软雅黑" w:eastAsia="微软雅黑"/>
                <w:sz w:val="17"/>
              </w:rPr>
              <w:t>技术规范</w:t>
            </w:r>
          </w:p>
        </w:tc>
        <w:tc>
          <w:tcPr>
            <w:tcW w:type="dxa" w:w="4536"/>
          </w:tcPr>
          <w:p>
            <w:r/>
            <w:r>
              <w:rPr>
                <w:rFonts w:ascii="微软雅黑" w:hAnsi="微软雅黑" w:eastAsia="微软雅黑"/>
                <w:sz w:val="17"/>
              </w:rPr>
              <w:t>归档接口技术规范、电子档案元数据规范、档案"四性"保障规范</w:t>
            </w:r>
          </w:p>
        </w:tc>
      </w:tr>
    </w:tbl>
    <w:p/>
    <w:p>
      <w:pPr>
        <w:pBdr>
          <w:bottom w:val="single" w:sz="8" w:color="C70019"/>
        </w:pBdr>
      </w:pPr>
      <w:r>
        <w:rPr>
          <w:rFonts w:ascii="微软雅黑" w:hAnsi="微软雅黑" w:eastAsia="微软雅黑"/>
          <w:b/>
          <w:color w:val="C70019"/>
          <w:sz w:val="32"/>
        </w:rPr>
        <w:t>第10章 信息化基础设施设计</w:t>
      </w:r>
    </w:p>
    <w:p>
      <w:r>
        <w:rPr>
          <w:rFonts w:ascii="微软雅黑" w:hAnsi="微软雅黑" w:eastAsia="微软雅黑"/>
          <w:b w:val="0"/>
          <w:sz w:val="21"/>
        </w:rPr>
        <w:t>本项目遵循国家信创要求，软件系统及基础设施全面适配信创生态。</w:t>
      </w:r>
    </w:p>
    <w:p>
      <w:pPr>
        <w:jc w:val="center"/>
      </w:pPr>
      <w:r>
        <w:drawing>
          <wp:inline xmlns:a="http://schemas.openxmlformats.org/drawingml/2006/main" xmlns:pic="http://schemas.openxmlformats.org/drawingml/2006/picture">
            <wp:extent cx="5580000" cy="1697914"/>
            <wp:docPr id="31" name="Picture 31"/>
            <wp:cNvGraphicFramePr>
              <a:graphicFrameLocks noChangeAspect="1"/>
            </wp:cNvGraphicFramePr>
            <a:graphic>
              <a:graphicData uri="http://schemas.openxmlformats.org/drawingml/2006/picture">
                <pic:pic>
                  <pic:nvPicPr>
                    <pic:cNvPr id="0" name="28-基础设施.png"/>
                    <pic:cNvPicPr/>
                  </pic:nvPicPr>
                  <pic:blipFill>
                    <a:blip r:embed="rId39"/>
                    <a:stretch>
                      <a:fillRect/>
                    </a:stretch>
                  </pic:blipFill>
                  <pic:spPr>
                    <a:xfrm>
                      <a:off x="0" y="0"/>
                      <a:ext cx="5580000" cy="1697914"/>
                    </a:xfrm>
                    <a:prstGeom prst="rect"/>
                  </pic:spPr>
                </pic:pic>
              </a:graphicData>
            </a:graphic>
          </wp:inline>
        </w:drawing>
      </w:r>
    </w:p>
    <w:p>
      <w:pPr>
        <w:jc w:val="center"/>
      </w:pPr>
      <w:r>
        <w:rPr>
          <w:rFonts w:ascii="微软雅黑" w:hAnsi="微软雅黑" w:eastAsia="微软雅黑"/>
          <w:color w:val="888888"/>
          <w:sz w:val="18"/>
        </w:rPr>
        <w:t>图10-1 信息化基础设施</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类别</w:t>
            </w:r>
          </w:p>
        </w:tc>
        <w:tc>
          <w:tcPr>
            <w:tcW w:type="dxa" w:w="3024"/>
            <w:shd w:val="clear" w:color="auto" w:fill="C70019"/>
          </w:tcPr>
          <w:p>
            <w:pPr>
              <w:jc w:val="center"/>
            </w:pPr>
            <w:r/>
            <w:r>
              <w:rPr>
                <w:rFonts w:ascii="微软雅黑" w:hAnsi="微软雅黑" w:eastAsia="微软雅黑"/>
                <w:b/>
                <w:color w:val="FFFFFF"/>
                <w:sz w:val="18"/>
              </w:rPr>
              <w:t>需求内容</w:t>
            </w:r>
          </w:p>
        </w:tc>
        <w:tc>
          <w:tcPr>
            <w:tcW w:type="dxa" w:w="3024"/>
            <w:shd w:val="clear" w:color="auto" w:fill="C70019"/>
          </w:tcPr>
          <w:p>
            <w:pPr>
              <w:jc w:val="center"/>
            </w:pPr>
            <w:r/>
            <w:r>
              <w:rPr>
                <w:rFonts w:ascii="微软雅黑" w:hAnsi="微软雅黑" w:eastAsia="微软雅黑"/>
                <w:b/>
                <w:color w:val="FFFFFF"/>
                <w:sz w:val="18"/>
              </w:rPr>
              <w:t>数量及参数</w:t>
            </w:r>
          </w:p>
        </w:tc>
      </w:tr>
      <w:tr>
        <w:tc>
          <w:tcPr>
            <w:tcW w:type="dxa" w:w="3024"/>
          </w:tcPr>
          <w:p>
            <w:r/>
            <w:r>
              <w:rPr>
                <w:rFonts w:ascii="微软雅黑" w:hAnsi="微软雅黑" w:eastAsia="微软雅黑"/>
                <w:sz w:val="17"/>
              </w:rPr>
              <w:t>基础硬件</w:t>
            </w:r>
          </w:p>
        </w:tc>
        <w:tc>
          <w:tcPr>
            <w:tcW w:type="dxa" w:w="3024"/>
          </w:tcPr>
          <w:p>
            <w:r/>
            <w:r>
              <w:rPr>
                <w:rFonts w:ascii="微软雅黑" w:hAnsi="微软雅黑" w:eastAsia="微软雅黑"/>
                <w:sz w:val="17"/>
              </w:rPr>
              <w:t>机房（档案楼专用房间）</w:t>
            </w:r>
          </w:p>
        </w:tc>
        <w:tc>
          <w:tcPr>
            <w:tcW w:type="dxa" w:w="3024"/>
          </w:tcPr>
          <w:p>
            <w:r/>
            <w:r>
              <w:rPr>
                <w:rFonts w:ascii="微软雅黑" w:hAnsi="微软雅黑" w:eastAsia="微软雅黑"/>
                <w:sz w:val="17"/>
              </w:rPr>
              <w:t>25000元/㎡（60㎡）</w:t>
            </w:r>
          </w:p>
        </w:tc>
      </w:tr>
      <w:tr>
        <w:tc>
          <w:tcPr>
            <w:tcW w:type="dxa" w:w="3024"/>
            <w:shd w:val="clear" w:color="auto" w:fill="F2F1EE"/>
          </w:tcPr>
          <w:p>
            <w:r/>
            <w:r>
              <w:rPr>
                <w:rFonts w:ascii="微软雅黑" w:hAnsi="微软雅黑" w:eastAsia="微软雅黑"/>
                <w:sz w:val="17"/>
              </w:rPr>
              <w:t>基础硬件</w:t>
            </w:r>
          </w:p>
        </w:tc>
        <w:tc>
          <w:tcPr>
            <w:tcW w:type="dxa" w:w="3024"/>
            <w:shd w:val="clear" w:color="auto" w:fill="F2F1EE"/>
          </w:tcPr>
          <w:p>
            <w:r/>
            <w:r>
              <w:rPr>
                <w:rFonts w:ascii="微软雅黑" w:hAnsi="微软雅黑" w:eastAsia="微软雅黑"/>
                <w:sz w:val="17"/>
              </w:rPr>
              <w:t>交换机</w:t>
            </w:r>
          </w:p>
        </w:tc>
        <w:tc>
          <w:tcPr>
            <w:tcW w:type="dxa" w:w="3024"/>
            <w:shd w:val="clear" w:color="auto" w:fill="F2F1EE"/>
          </w:tcPr>
          <w:p>
            <w:r/>
            <w:r>
              <w:rPr>
                <w:rFonts w:ascii="微软雅黑" w:hAnsi="微软雅黑" w:eastAsia="微软雅黑"/>
                <w:sz w:val="17"/>
              </w:rPr>
              <w:t>2台</w:t>
            </w:r>
          </w:p>
        </w:tc>
      </w:tr>
      <w:tr>
        <w:tc>
          <w:tcPr>
            <w:tcW w:type="dxa" w:w="3024"/>
          </w:tcPr>
          <w:p>
            <w:r/>
            <w:r>
              <w:rPr>
                <w:rFonts w:ascii="微软雅黑" w:hAnsi="微软雅黑" w:eastAsia="微软雅黑"/>
                <w:sz w:val="17"/>
              </w:rPr>
              <w:t>基础硬件</w:t>
            </w:r>
          </w:p>
        </w:tc>
        <w:tc>
          <w:tcPr>
            <w:tcW w:type="dxa" w:w="3024"/>
          </w:tcPr>
          <w:p>
            <w:r/>
            <w:r>
              <w:rPr>
                <w:rFonts w:ascii="微软雅黑" w:hAnsi="微软雅黑" w:eastAsia="微软雅黑"/>
                <w:sz w:val="17"/>
              </w:rPr>
              <w:t>防火墙、漏洞扫描、入侵检测、安全审计</w:t>
            </w:r>
          </w:p>
        </w:tc>
        <w:tc>
          <w:tcPr>
            <w:tcW w:type="dxa" w:w="3024"/>
          </w:tcPr>
          <w:p>
            <w:r/>
            <w:r>
              <w:rPr>
                <w:rFonts w:ascii="微软雅黑" w:hAnsi="微软雅黑" w:eastAsia="微软雅黑"/>
                <w:sz w:val="17"/>
              </w:rPr>
              <w:t>满足系统运行需求</w:t>
            </w:r>
          </w:p>
        </w:tc>
      </w:tr>
      <w:tr>
        <w:tc>
          <w:tcPr>
            <w:tcW w:type="dxa" w:w="3024"/>
            <w:shd w:val="clear" w:color="auto" w:fill="F2F1EE"/>
          </w:tcPr>
          <w:p>
            <w:r/>
            <w:r>
              <w:rPr>
                <w:rFonts w:ascii="微软雅黑" w:hAnsi="微软雅黑" w:eastAsia="微软雅黑"/>
                <w:sz w:val="17"/>
              </w:rPr>
              <w:t>基础硬件</w:t>
            </w:r>
          </w:p>
        </w:tc>
        <w:tc>
          <w:tcPr>
            <w:tcW w:type="dxa" w:w="3024"/>
            <w:shd w:val="clear" w:color="auto" w:fill="F2F1EE"/>
          </w:tcPr>
          <w:p>
            <w:r/>
            <w:r>
              <w:rPr>
                <w:rFonts w:ascii="微软雅黑" w:hAnsi="微软雅黑" w:eastAsia="微软雅黑"/>
                <w:sz w:val="17"/>
              </w:rPr>
              <w:t>应用服务器</w:t>
            </w:r>
          </w:p>
        </w:tc>
        <w:tc>
          <w:tcPr>
            <w:tcW w:type="dxa" w:w="3024"/>
            <w:shd w:val="clear" w:color="auto" w:fill="F2F1EE"/>
          </w:tcPr>
          <w:p>
            <w:r/>
            <w:r>
              <w:rPr>
                <w:rFonts w:ascii="微软雅黑" w:hAnsi="微软雅黑" w:eastAsia="微软雅黑"/>
                <w:sz w:val="17"/>
              </w:rPr>
              <w:t>2台（双机）</w:t>
            </w:r>
          </w:p>
        </w:tc>
      </w:tr>
      <w:tr>
        <w:tc>
          <w:tcPr>
            <w:tcW w:type="dxa" w:w="3024"/>
          </w:tcPr>
          <w:p>
            <w:r/>
            <w:r>
              <w:rPr>
                <w:rFonts w:ascii="微软雅黑" w:hAnsi="微软雅黑" w:eastAsia="微软雅黑"/>
                <w:sz w:val="17"/>
              </w:rPr>
              <w:t>基础硬件</w:t>
            </w:r>
          </w:p>
        </w:tc>
        <w:tc>
          <w:tcPr>
            <w:tcW w:type="dxa" w:w="3024"/>
          </w:tcPr>
          <w:p>
            <w:r/>
            <w:r>
              <w:rPr>
                <w:rFonts w:ascii="微软雅黑" w:hAnsi="微软雅黑" w:eastAsia="微软雅黑"/>
                <w:sz w:val="17"/>
              </w:rPr>
              <w:t>数据库服务器</w:t>
            </w:r>
          </w:p>
        </w:tc>
        <w:tc>
          <w:tcPr>
            <w:tcW w:type="dxa" w:w="3024"/>
          </w:tcPr>
          <w:p>
            <w:r/>
            <w:r>
              <w:rPr>
                <w:rFonts w:ascii="微软雅黑" w:hAnsi="微软雅黑" w:eastAsia="微软雅黑"/>
                <w:sz w:val="17"/>
              </w:rPr>
              <w:t>2台（主从+守护集群）</w:t>
            </w:r>
          </w:p>
        </w:tc>
      </w:tr>
      <w:tr>
        <w:tc>
          <w:tcPr>
            <w:tcW w:type="dxa" w:w="3024"/>
            <w:shd w:val="clear" w:color="auto" w:fill="F2F1EE"/>
          </w:tcPr>
          <w:p>
            <w:r/>
            <w:r>
              <w:rPr>
                <w:rFonts w:ascii="微软雅黑" w:hAnsi="微软雅黑" w:eastAsia="微软雅黑"/>
                <w:sz w:val="17"/>
              </w:rPr>
              <w:t>基础硬件</w:t>
            </w:r>
          </w:p>
        </w:tc>
        <w:tc>
          <w:tcPr>
            <w:tcW w:type="dxa" w:w="3024"/>
            <w:shd w:val="clear" w:color="auto" w:fill="F2F1EE"/>
          </w:tcPr>
          <w:p>
            <w:r/>
            <w:r>
              <w:rPr>
                <w:rFonts w:ascii="微软雅黑" w:hAnsi="微软雅黑" w:eastAsia="微软雅黑"/>
                <w:sz w:val="17"/>
              </w:rPr>
              <w:t>组件服务器</w:t>
            </w:r>
          </w:p>
        </w:tc>
        <w:tc>
          <w:tcPr>
            <w:tcW w:type="dxa" w:w="3024"/>
            <w:shd w:val="clear" w:color="auto" w:fill="F2F1EE"/>
          </w:tcPr>
          <w:p>
            <w:r/>
            <w:r>
              <w:rPr>
                <w:rFonts w:ascii="微软雅黑" w:hAnsi="微软雅黑" w:eastAsia="微软雅黑"/>
                <w:sz w:val="17"/>
              </w:rPr>
              <w:t>1台</w:t>
            </w:r>
          </w:p>
        </w:tc>
      </w:tr>
      <w:tr>
        <w:tc>
          <w:tcPr>
            <w:tcW w:type="dxa" w:w="3024"/>
          </w:tcPr>
          <w:p>
            <w:r/>
            <w:r>
              <w:rPr>
                <w:rFonts w:ascii="微软雅黑" w:hAnsi="微软雅黑" w:eastAsia="微软雅黑"/>
                <w:sz w:val="17"/>
              </w:rPr>
              <w:t>基础硬件</w:t>
            </w:r>
          </w:p>
        </w:tc>
        <w:tc>
          <w:tcPr>
            <w:tcW w:type="dxa" w:w="3024"/>
          </w:tcPr>
          <w:p>
            <w:r/>
            <w:r>
              <w:rPr>
                <w:rFonts w:ascii="微软雅黑" w:hAnsi="微软雅黑" w:eastAsia="微软雅黑"/>
                <w:sz w:val="17"/>
              </w:rPr>
              <w:t>NAS在线存储</w:t>
            </w:r>
          </w:p>
        </w:tc>
        <w:tc>
          <w:tcPr>
            <w:tcW w:type="dxa" w:w="3024"/>
          </w:tcPr>
          <w:p>
            <w:r/>
            <w:r>
              <w:rPr>
                <w:rFonts w:ascii="微软雅黑" w:hAnsi="微软雅黑" w:eastAsia="微软雅黑"/>
                <w:sz w:val="17"/>
              </w:rPr>
              <w:t>1套（200TB）</w:t>
            </w:r>
          </w:p>
        </w:tc>
      </w:tr>
      <w:tr>
        <w:tc>
          <w:tcPr>
            <w:tcW w:type="dxa" w:w="3024"/>
            <w:shd w:val="clear" w:color="auto" w:fill="F2F1EE"/>
          </w:tcPr>
          <w:p>
            <w:r/>
            <w:r>
              <w:rPr>
                <w:rFonts w:ascii="微软雅黑" w:hAnsi="微软雅黑" w:eastAsia="微软雅黑"/>
                <w:sz w:val="17"/>
              </w:rPr>
              <w:t>基础硬件</w:t>
            </w:r>
          </w:p>
        </w:tc>
        <w:tc>
          <w:tcPr>
            <w:tcW w:type="dxa" w:w="3024"/>
            <w:shd w:val="clear" w:color="auto" w:fill="F2F1EE"/>
          </w:tcPr>
          <w:p>
            <w:r/>
            <w:r>
              <w:rPr>
                <w:rFonts w:ascii="微软雅黑" w:hAnsi="微软雅黑" w:eastAsia="微软雅黑"/>
                <w:sz w:val="17"/>
              </w:rPr>
              <w:t>离线存储设备（含长期保存系统）</w:t>
            </w:r>
          </w:p>
        </w:tc>
        <w:tc>
          <w:tcPr>
            <w:tcW w:type="dxa" w:w="3024"/>
            <w:shd w:val="clear" w:color="auto" w:fill="F2F1EE"/>
          </w:tcPr>
          <w:p>
            <w:r/>
            <w:r>
              <w:rPr>
                <w:rFonts w:ascii="微软雅黑" w:hAnsi="微软雅黑" w:eastAsia="微软雅黑"/>
                <w:sz w:val="17"/>
              </w:rPr>
              <w:t>1套（光磁库，200TB）</w:t>
            </w:r>
          </w:p>
        </w:tc>
      </w:tr>
      <w:tr>
        <w:tc>
          <w:tcPr>
            <w:tcW w:type="dxa" w:w="3024"/>
          </w:tcPr>
          <w:p>
            <w:r/>
            <w:r>
              <w:rPr>
                <w:rFonts w:ascii="微软雅黑" w:hAnsi="微软雅黑" w:eastAsia="微软雅黑"/>
                <w:sz w:val="17"/>
              </w:rPr>
              <w:t>基础硬件</w:t>
            </w:r>
          </w:p>
        </w:tc>
        <w:tc>
          <w:tcPr>
            <w:tcW w:type="dxa" w:w="3024"/>
          </w:tcPr>
          <w:p>
            <w:r/>
            <w:r>
              <w:rPr>
                <w:rFonts w:ascii="微软雅黑" w:hAnsi="微软雅黑" w:eastAsia="微软雅黑"/>
                <w:sz w:val="17"/>
              </w:rPr>
              <w:t>在线备份一体机</w:t>
            </w:r>
          </w:p>
        </w:tc>
        <w:tc>
          <w:tcPr>
            <w:tcW w:type="dxa" w:w="3024"/>
          </w:tcPr>
          <w:p>
            <w:r/>
            <w:r>
              <w:rPr>
                <w:rFonts w:ascii="微软雅黑" w:hAnsi="微软雅黑" w:eastAsia="微软雅黑"/>
                <w:sz w:val="17"/>
              </w:rPr>
              <w:t>1套（200TB）</w:t>
            </w:r>
          </w:p>
        </w:tc>
      </w:tr>
      <w:tr>
        <w:tc>
          <w:tcPr>
            <w:tcW w:type="dxa" w:w="3024"/>
            <w:shd w:val="clear" w:color="auto" w:fill="F2F1EE"/>
          </w:tcPr>
          <w:p>
            <w:r/>
            <w:r>
              <w:rPr>
                <w:rFonts w:ascii="微软雅黑" w:hAnsi="微软雅黑" w:eastAsia="微软雅黑"/>
                <w:sz w:val="17"/>
              </w:rPr>
              <w:t>基础硬件</w:t>
            </w:r>
          </w:p>
        </w:tc>
        <w:tc>
          <w:tcPr>
            <w:tcW w:type="dxa" w:w="3024"/>
            <w:shd w:val="clear" w:color="auto" w:fill="F2F1EE"/>
          </w:tcPr>
          <w:p>
            <w:r/>
            <w:r>
              <w:rPr>
                <w:rFonts w:ascii="微软雅黑" w:hAnsi="微软雅黑" w:eastAsia="微软雅黑"/>
                <w:sz w:val="17"/>
              </w:rPr>
              <w:t>洛阳异地灾备备份一体机</w:t>
            </w:r>
          </w:p>
        </w:tc>
        <w:tc>
          <w:tcPr>
            <w:tcW w:type="dxa" w:w="3024"/>
            <w:shd w:val="clear" w:color="auto" w:fill="F2F1EE"/>
          </w:tcPr>
          <w:p>
            <w:r/>
            <w:r>
              <w:rPr>
                <w:rFonts w:ascii="微软雅黑" w:hAnsi="微软雅黑" w:eastAsia="微软雅黑"/>
                <w:sz w:val="17"/>
              </w:rPr>
              <w:t>1套（200TB，二期）</w:t>
            </w:r>
          </w:p>
        </w:tc>
      </w:tr>
      <w:tr>
        <w:tc>
          <w:tcPr>
            <w:tcW w:type="dxa" w:w="3024"/>
          </w:tcPr>
          <w:p>
            <w:r/>
            <w:r>
              <w:rPr>
                <w:rFonts w:ascii="微软雅黑" w:hAnsi="微软雅黑" w:eastAsia="微软雅黑"/>
                <w:sz w:val="17"/>
              </w:rPr>
              <w:t>基础软件</w:t>
            </w:r>
          </w:p>
        </w:tc>
        <w:tc>
          <w:tcPr>
            <w:tcW w:type="dxa" w:w="3024"/>
          </w:tcPr>
          <w:p>
            <w:r/>
            <w:r>
              <w:rPr>
                <w:rFonts w:ascii="微软雅黑" w:hAnsi="微软雅黑" w:eastAsia="微软雅黑"/>
                <w:sz w:val="17"/>
              </w:rPr>
              <w:t>数据库软件</w:t>
            </w:r>
          </w:p>
        </w:tc>
        <w:tc>
          <w:tcPr>
            <w:tcW w:type="dxa" w:w="3024"/>
          </w:tcPr>
          <w:p>
            <w:r/>
            <w:r>
              <w:rPr>
                <w:rFonts w:ascii="微软雅黑" w:hAnsi="微软雅黑" w:eastAsia="微软雅黑"/>
                <w:sz w:val="17"/>
              </w:rPr>
              <w:t>2套（含守护集群软件）</w:t>
            </w:r>
          </w:p>
        </w:tc>
      </w:tr>
      <w:tr>
        <w:tc>
          <w:tcPr>
            <w:tcW w:type="dxa" w:w="3024"/>
            <w:shd w:val="clear" w:color="auto" w:fill="F2F1EE"/>
          </w:tcPr>
          <w:p>
            <w:r/>
            <w:r>
              <w:rPr>
                <w:rFonts w:ascii="微软雅黑" w:hAnsi="微软雅黑" w:eastAsia="微软雅黑"/>
                <w:sz w:val="17"/>
              </w:rPr>
              <w:t>基础软件</w:t>
            </w:r>
          </w:p>
        </w:tc>
        <w:tc>
          <w:tcPr>
            <w:tcW w:type="dxa" w:w="3024"/>
            <w:shd w:val="clear" w:color="auto" w:fill="F2F1EE"/>
          </w:tcPr>
          <w:p>
            <w:r/>
            <w:r>
              <w:rPr>
                <w:rFonts w:ascii="微软雅黑" w:hAnsi="微软雅黑" w:eastAsia="微软雅黑"/>
                <w:sz w:val="17"/>
              </w:rPr>
              <w:t>操作系统</w:t>
            </w:r>
          </w:p>
        </w:tc>
        <w:tc>
          <w:tcPr>
            <w:tcW w:type="dxa" w:w="3024"/>
            <w:shd w:val="clear" w:color="auto" w:fill="F2F1EE"/>
          </w:tcPr>
          <w:p>
            <w:r/>
            <w:r>
              <w:rPr>
                <w:rFonts w:ascii="微软雅黑" w:hAnsi="微软雅黑" w:eastAsia="微软雅黑"/>
                <w:sz w:val="17"/>
              </w:rPr>
              <w:t>5套（应用4+组件1）</w:t>
            </w:r>
          </w:p>
        </w:tc>
      </w:tr>
      <w:tr>
        <w:tc>
          <w:tcPr>
            <w:tcW w:type="dxa" w:w="3024"/>
          </w:tcPr>
          <w:p>
            <w:r/>
            <w:r>
              <w:rPr>
                <w:rFonts w:ascii="微软雅黑" w:hAnsi="微软雅黑" w:eastAsia="微软雅黑"/>
                <w:sz w:val="17"/>
              </w:rPr>
              <w:t>基础软件</w:t>
            </w:r>
          </w:p>
        </w:tc>
        <w:tc>
          <w:tcPr>
            <w:tcW w:type="dxa" w:w="3024"/>
          </w:tcPr>
          <w:p>
            <w:r/>
            <w:r>
              <w:rPr>
                <w:rFonts w:ascii="微软雅黑" w:hAnsi="微软雅黑" w:eastAsia="微软雅黑"/>
                <w:sz w:val="17"/>
              </w:rPr>
              <w:t>中间件</w:t>
            </w:r>
          </w:p>
        </w:tc>
        <w:tc>
          <w:tcPr>
            <w:tcW w:type="dxa" w:w="3024"/>
          </w:tcPr>
          <w:p>
            <w:r/>
            <w:r>
              <w:rPr>
                <w:rFonts w:ascii="微软雅黑" w:hAnsi="微软雅黑" w:eastAsia="微软雅黑"/>
                <w:sz w:val="17"/>
              </w:rPr>
              <w:t>2套</w:t>
            </w:r>
          </w:p>
        </w:tc>
      </w:tr>
      <w:tr>
        <w:tc>
          <w:tcPr>
            <w:tcW w:type="dxa" w:w="3024"/>
            <w:shd w:val="clear" w:color="auto" w:fill="F2F1EE"/>
          </w:tcPr>
          <w:p>
            <w:r/>
            <w:r>
              <w:rPr>
                <w:rFonts w:ascii="微软雅黑" w:hAnsi="微软雅黑" w:eastAsia="微软雅黑"/>
                <w:sz w:val="17"/>
              </w:rPr>
              <w:t>基础软件</w:t>
            </w:r>
          </w:p>
        </w:tc>
        <w:tc>
          <w:tcPr>
            <w:tcW w:type="dxa" w:w="3024"/>
            <w:shd w:val="clear" w:color="auto" w:fill="F2F1EE"/>
          </w:tcPr>
          <w:p>
            <w:r/>
            <w:r>
              <w:rPr>
                <w:rFonts w:ascii="微软雅黑" w:hAnsi="微软雅黑" w:eastAsia="微软雅黑"/>
                <w:sz w:val="17"/>
              </w:rPr>
              <w:t>OCR、电子签章系统</w:t>
            </w:r>
          </w:p>
        </w:tc>
        <w:tc>
          <w:tcPr>
            <w:tcW w:type="dxa" w:w="3024"/>
            <w:shd w:val="clear" w:color="auto" w:fill="F2F1EE"/>
          </w:tcPr>
          <w:p>
            <w:r/>
            <w:r>
              <w:rPr>
                <w:rFonts w:ascii="微软雅黑" w:hAnsi="微软雅黑" w:eastAsia="微软雅黑"/>
                <w:sz w:val="17"/>
              </w:rPr>
              <w:t>各1套</w:t>
            </w:r>
          </w:p>
        </w:tc>
      </w:tr>
      <w:tr>
        <w:tc>
          <w:tcPr>
            <w:tcW w:type="dxa" w:w="3024"/>
          </w:tcPr>
          <w:p>
            <w:r/>
            <w:r>
              <w:rPr>
                <w:rFonts w:ascii="微软雅黑" w:hAnsi="微软雅黑" w:eastAsia="微软雅黑"/>
                <w:sz w:val="17"/>
              </w:rPr>
              <w:t>外置设备</w:t>
            </w:r>
          </w:p>
        </w:tc>
        <w:tc>
          <w:tcPr>
            <w:tcW w:type="dxa" w:w="3024"/>
          </w:tcPr>
          <w:p>
            <w:r/>
            <w:r>
              <w:rPr>
                <w:rFonts w:ascii="微软雅黑" w:hAnsi="微软雅黑" w:eastAsia="微软雅黑"/>
                <w:sz w:val="17"/>
              </w:rPr>
              <w:t>数码相机、光盘刻录机×5、胶片阅读机、胶片柜</w:t>
            </w:r>
          </w:p>
        </w:tc>
        <w:tc>
          <w:tcPr>
            <w:tcW w:type="dxa" w:w="3024"/>
          </w:tcPr>
          <w:p>
            <w:r/>
            <w:r>
              <w:rPr>
                <w:rFonts w:ascii="微软雅黑" w:hAnsi="微软雅黑" w:eastAsia="微软雅黑"/>
                <w:sz w:val="17"/>
              </w:rPr>
              <w:t>各1套</w:t>
            </w:r>
          </w:p>
        </w:tc>
      </w:tr>
    </w:tbl>
    <w:p/>
    <w:p>
      <w:pPr>
        <w:pBdr>
          <w:bottom w:val="single" w:sz="8" w:color="C70019"/>
        </w:pBdr>
      </w:pPr>
      <w:r>
        <w:rPr>
          <w:rFonts w:ascii="微软雅黑" w:hAnsi="微软雅黑" w:eastAsia="微软雅黑"/>
          <w:b/>
          <w:color w:val="C70019"/>
          <w:sz w:val="32"/>
        </w:rPr>
        <w:t>第11章 AI智能化应用设计（三期）</w:t>
      </w:r>
    </w:p>
    <w:p>
      <w:r>
        <w:rPr>
          <w:rFonts w:ascii="微软雅黑" w:hAnsi="微软雅黑" w:eastAsia="微软雅黑"/>
          <w:b w:val="0"/>
          <w:sz w:val="21"/>
        </w:rPr>
        <w:t>依托中车AI底座（矢量数据库、大模型算法、算力中心）建设智能化能力，对接数字化部开发的公司知识智能体应用。</w:t>
      </w:r>
    </w:p>
    <w:p>
      <w:pPr>
        <w:jc w:val="center"/>
      </w:pPr>
      <w:r>
        <w:drawing>
          <wp:inline xmlns:a="http://schemas.openxmlformats.org/drawingml/2006/main" xmlns:pic="http://schemas.openxmlformats.org/drawingml/2006/picture">
            <wp:extent cx="5580000" cy="1861329"/>
            <wp:docPr id="32" name="Picture 32"/>
            <wp:cNvGraphicFramePr>
              <a:graphicFrameLocks noChangeAspect="1"/>
            </wp:cNvGraphicFramePr>
            <a:graphic>
              <a:graphicData uri="http://schemas.openxmlformats.org/drawingml/2006/picture">
                <pic:pic>
                  <pic:nvPicPr>
                    <pic:cNvPr id="0" name="23-AI智能应用.png"/>
                    <pic:cNvPicPr/>
                  </pic:nvPicPr>
                  <pic:blipFill>
                    <a:blip r:embed="rId40"/>
                    <a:stretch>
                      <a:fillRect/>
                    </a:stretch>
                  </pic:blipFill>
                  <pic:spPr>
                    <a:xfrm>
                      <a:off x="0" y="0"/>
                      <a:ext cx="5580000" cy="1861329"/>
                    </a:xfrm>
                    <a:prstGeom prst="rect"/>
                  </pic:spPr>
                </pic:pic>
              </a:graphicData>
            </a:graphic>
          </wp:inline>
        </w:drawing>
      </w:r>
    </w:p>
    <w:p>
      <w:pPr>
        <w:jc w:val="center"/>
      </w:pPr>
      <w:r>
        <w:rPr>
          <w:rFonts w:ascii="微软雅黑" w:hAnsi="微软雅黑" w:eastAsia="微软雅黑"/>
          <w:color w:val="888888"/>
          <w:sz w:val="18"/>
        </w:rPr>
        <w:t>图11-1 AI智能化应用架构</w:t>
      </w:r>
    </w:p>
    <w:p>
      <w:r>
        <w:rPr>
          <w:rFonts w:ascii="微软雅黑" w:hAnsi="微软雅黑" w:eastAsia="微软雅黑"/>
          <w:b/>
          <w:color w:val="00678F"/>
          <w:sz w:val="26"/>
        </w:rPr>
        <w:t>11.1 智能提取</w:t>
      </w:r>
    </w:p>
    <w:p>
      <w:pPr>
        <w:pStyle w:val="ListBullet"/>
      </w:pPr>
      <w:r>
        <w:rPr>
          <w:rFonts w:ascii="微软雅黑" w:hAnsi="微软雅黑" w:eastAsia="微软雅黑"/>
        </w:rPr>
        <w:t>文本档案智能预处理：自动格式转换预处理管道、OCR识别预处理管道、AI元数据提取模型接入与适配、"AI提取、人工确认、结果回填、重新处理"闭环工作流；</w:t>
      </w:r>
    </w:p>
    <w:p>
      <w:pPr>
        <w:pStyle w:val="ListBullet"/>
      </w:pPr>
      <w:r>
        <w:rPr>
          <w:rFonts w:ascii="微软雅黑" w:hAnsi="微软雅黑" w:eastAsia="微软雅黑"/>
        </w:rPr>
        <w:t>AI识别著录：框选原文信息自动OCR识别并填充著录项；</w:t>
      </w:r>
    </w:p>
    <w:p>
      <w:pPr>
        <w:pStyle w:val="ListBullet"/>
      </w:pPr>
      <w:r>
        <w:rPr>
          <w:rFonts w:ascii="微软雅黑" w:hAnsi="微软雅黑" w:eastAsia="微软雅黑"/>
        </w:rPr>
        <w:t>图片档案智能处理：人像检测模型接入、属性提取与自动标引；</w:t>
      </w:r>
    </w:p>
    <w:p>
      <w:pPr>
        <w:pStyle w:val="ListBullet"/>
      </w:pPr>
      <w:r>
        <w:rPr>
          <w:rFonts w:ascii="微软雅黑" w:hAnsi="微软雅黑" w:eastAsia="微软雅黑"/>
        </w:rPr>
        <w:t>音视频档案智能处理：语音转写、章节划分与关键帧抽取、人像识别与同框聚类。</w:t>
      </w:r>
    </w:p>
    <w:p>
      <w:r>
        <w:rPr>
          <w:rFonts w:ascii="微软雅黑" w:hAnsi="微软雅黑" w:eastAsia="微软雅黑"/>
          <w:b/>
          <w:color w:val="00678F"/>
          <w:sz w:val="26"/>
        </w:rPr>
        <w:t>11.2 智能检索</w:t>
      </w:r>
    </w:p>
    <w:p>
      <w:pPr>
        <w:pStyle w:val="ListBullet"/>
      </w:pPr>
      <w:r>
        <w:rPr>
          <w:rFonts w:ascii="微软雅黑" w:hAnsi="微软雅黑" w:eastAsia="微软雅黑"/>
        </w:rPr>
        <w:t>自然语言检索、查询意图自动拆解、元数据过滤与分词匹配、BM25排序适配与调优；</w:t>
      </w:r>
    </w:p>
    <w:p>
      <w:pPr>
        <w:pStyle w:val="ListBullet"/>
      </w:pPr>
      <w:r>
        <w:rPr>
          <w:rFonts w:ascii="微软雅黑" w:hAnsi="微软雅黑" w:eastAsia="微软雅黑"/>
        </w:rPr>
        <w:t>主题标引：NLP主题标引引擎、档案数据标签体系、向量空间模型建设与检索适配；</w:t>
      </w:r>
    </w:p>
    <w:p>
      <w:pPr>
        <w:pStyle w:val="ListBullet"/>
      </w:pPr>
      <w:r>
        <w:rPr>
          <w:rFonts w:ascii="微软雅黑" w:hAnsi="微软雅黑" w:eastAsia="微软雅黑"/>
        </w:rPr>
        <w:t>语义模糊匹配：主题词与自然词关联训练、策略调优；</w:t>
      </w:r>
    </w:p>
    <w:p>
      <w:pPr>
        <w:pStyle w:val="ListBullet"/>
      </w:pPr>
      <w:r>
        <w:rPr>
          <w:rFonts w:ascii="微软雅黑" w:hAnsi="微软雅黑" w:eastAsia="微软雅黑"/>
        </w:rPr>
        <w:t>多模态检索：图像/音视频多模态统一检索、多模态向量索引、以图搜图、人像同框检索。</w:t>
      </w:r>
    </w:p>
    <w:p>
      <w:r>
        <w:rPr>
          <w:rFonts w:ascii="微软雅黑" w:hAnsi="微软雅黑" w:eastAsia="微软雅黑"/>
          <w:b/>
          <w:color w:val="00678F"/>
          <w:sz w:val="26"/>
        </w:rPr>
        <w:t>11.3 智能问答</w:t>
      </w:r>
    </w:p>
    <w:p>
      <w:pPr>
        <w:pStyle w:val="ListBullet"/>
      </w:pPr>
      <w:r>
        <w:rPr>
          <w:rFonts w:ascii="微软雅黑" w:hAnsi="微软雅黑" w:eastAsia="微软雅黑"/>
        </w:rPr>
        <w:t>长文本即传即问：合同、财报、政策等长文本问答；答案引用角标与一键跳转原文，可溯源防幻觉；多轮对话与启发式提问；</w:t>
      </w:r>
    </w:p>
    <w:p>
      <w:pPr>
        <w:pStyle w:val="ListBullet"/>
      </w:pPr>
      <w:r>
        <w:rPr>
          <w:rFonts w:ascii="微软雅黑" w:hAnsi="微软雅黑" w:eastAsia="微软雅黑"/>
        </w:rPr>
        <w:t>业务知识库：按业务建设知识库，RAG检索增强接入（中车AI底座矢量数据库、大模型算法），对接公司知识智能体应用。</w:t>
      </w:r>
    </w:p>
    <w:p>
      <w:r>
        <w:rPr>
          <w:rFonts w:ascii="微软雅黑" w:hAnsi="微软雅黑" w:eastAsia="微软雅黑"/>
          <w:b/>
          <w:color w:val="00678F"/>
          <w:sz w:val="26"/>
        </w:rPr>
        <w:t>11.4 智能编研</w:t>
      </w:r>
    </w:p>
    <w:p>
      <w:pPr>
        <w:pStyle w:val="ListBullet"/>
      </w:pPr>
      <w:r>
        <w:rPr>
          <w:rFonts w:ascii="微软雅黑" w:hAnsi="微软雅黑" w:eastAsia="微软雅黑"/>
        </w:rPr>
        <w:t>编研参考推荐引擎、多级大纲自动生成、生成式内容生成与润色、编研版本控制；</w:t>
      </w:r>
    </w:p>
    <w:p>
      <w:pPr>
        <w:pStyle w:val="ListBullet"/>
      </w:pPr>
      <w:r>
        <w:rPr>
          <w:rFonts w:ascii="微软雅黑" w:hAnsi="微软雅黑" w:eastAsia="微软雅黑"/>
        </w:rPr>
        <w:t>大事记自动编写：网页档案素材归集、机器学习模型训练与自动编写；</w:t>
      </w:r>
    </w:p>
    <w:p>
      <w:pPr>
        <w:pStyle w:val="ListBullet"/>
      </w:pPr>
      <w:r>
        <w:rPr>
          <w:rFonts w:ascii="微软雅黑" w:hAnsi="微软雅黑" w:eastAsia="微软雅黑"/>
        </w:rPr>
        <w:t>档案知识图谱：关联关系抽取、档案知识网络构建、知识推荐与联想服务。</w:t>
      </w:r>
    </w:p>
    <w:p>
      <w:r>
        <w:rPr>
          <w:rFonts w:ascii="微软雅黑" w:hAnsi="微软雅黑" w:eastAsia="微软雅黑"/>
          <w:b/>
          <w:color w:val="00678F"/>
          <w:sz w:val="26"/>
        </w:rPr>
        <w:t>11.5 智能采集与分析</w:t>
      </w:r>
    </w:p>
    <w:p>
      <w:pPr>
        <w:pStyle w:val="ListBullet"/>
      </w:pPr>
      <w:r>
        <w:rPr>
          <w:rFonts w:ascii="微软雅黑" w:hAnsi="微软雅黑" w:eastAsia="微软雅黑"/>
        </w:rPr>
        <w:t>外网新闻捕获：数据爬虫引擎按关键词自动爬取公司相关新闻通讯，形成HTML网页及OFD格式文件并按网页元数据方案捕获元数据；</w:t>
      </w:r>
    </w:p>
    <w:p>
      <w:pPr>
        <w:pStyle w:val="ListBullet"/>
      </w:pPr>
      <w:r>
        <w:rPr>
          <w:rFonts w:ascii="微软雅黑" w:hAnsi="微软雅黑" w:eastAsia="微软雅黑"/>
        </w:rPr>
        <w:t>智能开放审核：开放鉴定智能审核模型接入与工作流；</w:t>
      </w:r>
    </w:p>
    <w:p>
      <w:pPr>
        <w:pStyle w:val="ListBullet"/>
      </w:pPr>
      <w:r>
        <w:rPr>
          <w:rFonts w:ascii="微软雅黑" w:hAnsi="微软雅黑" w:eastAsia="微软雅黑"/>
        </w:rPr>
        <w:t>智能盘库：智能盘库模型接入、盘库结果自动比对与异常提示；</w:t>
      </w:r>
    </w:p>
    <w:p>
      <w:pPr>
        <w:pStyle w:val="ListBullet"/>
      </w:pPr>
      <w:r>
        <w:rPr>
          <w:rFonts w:ascii="微软雅黑" w:hAnsi="微软雅黑" w:eastAsia="微软雅黑"/>
        </w:rPr>
        <w:t>智能文本分析：档案内容智能文本分析、分析结果报告生成。</w:t>
      </w:r>
    </w:p>
    <w:p>
      <w:r>
        <w:br w:type="page"/>
      </w:r>
    </w:p>
    <w:p>
      <w:pPr>
        <w:pBdr>
          <w:bottom w:val="single" w:sz="8" w:color="C70019"/>
        </w:pBdr>
      </w:pPr>
      <w:r>
        <w:rPr>
          <w:rFonts w:ascii="微软雅黑" w:hAnsi="微软雅黑" w:eastAsia="微软雅黑"/>
          <w:b/>
          <w:color w:val="C70019"/>
          <w:sz w:val="32"/>
        </w:rPr>
        <w:t>第12章 分期实施计划与里程碑</w:t>
      </w:r>
    </w:p>
    <w:p>
      <w:pPr>
        <w:jc w:val="center"/>
      </w:pPr>
      <w:r>
        <w:drawing>
          <wp:inline xmlns:a="http://schemas.openxmlformats.org/drawingml/2006/main" xmlns:pic="http://schemas.openxmlformats.org/drawingml/2006/picture">
            <wp:extent cx="5580000" cy="1522543"/>
            <wp:docPr id="33" name="Picture 33"/>
            <wp:cNvGraphicFramePr>
              <a:graphicFrameLocks noChangeAspect="1"/>
            </wp:cNvGraphicFramePr>
            <a:graphic>
              <a:graphicData uri="http://schemas.openxmlformats.org/drawingml/2006/picture">
                <pic:pic>
                  <pic:nvPicPr>
                    <pic:cNvPr id="0" name="24-分期实施.png"/>
                    <pic:cNvPicPr/>
                  </pic:nvPicPr>
                  <pic:blipFill>
                    <a:blip r:embed="rId41"/>
                    <a:stretch>
                      <a:fillRect/>
                    </a:stretch>
                  </pic:blipFill>
                  <pic:spPr>
                    <a:xfrm>
                      <a:off x="0" y="0"/>
                      <a:ext cx="5580000" cy="1522543"/>
                    </a:xfrm>
                    <a:prstGeom prst="rect"/>
                  </pic:spPr>
                </pic:pic>
              </a:graphicData>
            </a:graphic>
          </wp:inline>
        </w:drawing>
      </w:r>
    </w:p>
    <w:p>
      <w:pPr>
        <w:jc w:val="center"/>
      </w:pPr>
      <w:r>
        <w:rPr>
          <w:rFonts w:ascii="微软雅黑" w:hAnsi="微软雅黑" w:eastAsia="微软雅黑"/>
          <w:color w:val="888888"/>
          <w:sz w:val="18"/>
        </w:rPr>
        <w:t>图12-1 分期实施路线</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期次</w:t>
            </w:r>
          </w:p>
        </w:tc>
        <w:tc>
          <w:tcPr>
            <w:tcW w:type="dxa" w:w="3024"/>
            <w:shd w:val="clear" w:color="auto" w:fill="C70019"/>
          </w:tcPr>
          <w:p>
            <w:pPr>
              <w:jc w:val="center"/>
            </w:pPr>
            <w:r/>
            <w:r>
              <w:rPr>
                <w:rFonts w:ascii="微软雅黑" w:hAnsi="微软雅黑" w:eastAsia="微软雅黑"/>
                <w:b/>
                <w:color w:val="FFFFFF"/>
                <w:sz w:val="18"/>
              </w:rPr>
              <w:t>建设内容</w:t>
            </w:r>
          </w:p>
        </w:tc>
        <w:tc>
          <w:tcPr>
            <w:tcW w:type="dxa" w:w="3024"/>
            <w:shd w:val="clear" w:color="auto" w:fill="C70019"/>
          </w:tcPr>
          <w:p>
            <w:pPr>
              <w:jc w:val="center"/>
            </w:pPr>
            <w:r/>
            <w:r>
              <w:rPr>
                <w:rFonts w:ascii="微软雅黑" w:hAnsi="微软雅黑" w:eastAsia="微软雅黑"/>
                <w:b/>
                <w:color w:val="FFFFFF"/>
                <w:sz w:val="18"/>
              </w:rPr>
              <w:t>里程碑</w:t>
            </w:r>
          </w:p>
        </w:tc>
      </w:tr>
      <w:tr>
        <w:tc>
          <w:tcPr>
            <w:tcW w:type="dxa" w:w="3024"/>
          </w:tcPr>
          <w:p>
            <w:r/>
            <w:r>
              <w:rPr>
                <w:rFonts w:ascii="微软雅黑" w:hAnsi="微软雅黑" w:eastAsia="微软雅黑"/>
                <w:sz w:val="17"/>
              </w:rPr>
              <w:t>一期（紧迫）</w:t>
            </w:r>
          </w:p>
        </w:tc>
        <w:tc>
          <w:tcPr>
            <w:tcW w:type="dxa" w:w="3024"/>
          </w:tcPr>
          <w:p>
            <w:r/>
            <w:r>
              <w:rPr>
                <w:rFonts w:ascii="微软雅黑" w:hAnsi="微软雅黑" w:eastAsia="微软雅黑"/>
                <w:sz w:val="17"/>
              </w:rPr>
              <w:t>档案数据接收平台（含档案接收平台业务系统自动归档接入层）、档案管理平台、共享利用平台、长期保存平台主体功能；一期9个业务系统在线归档集成；苍穹云/认证/签章等接口联调；老档案系统数据迁移；数字档案室认定支持</w:t>
            </w:r>
          </w:p>
        </w:tc>
        <w:tc>
          <w:tcPr>
            <w:tcW w:type="dxa" w:w="3024"/>
          </w:tcPr>
          <w:p>
            <w:r/>
            <w:r>
              <w:rPr>
                <w:rFonts w:ascii="微软雅黑" w:hAnsi="微软雅黑" w:eastAsia="微软雅黑"/>
                <w:sz w:val="17"/>
              </w:rPr>
              <w:t>系统上线试运行、单套管理可行性评估、数字档案室认定挂牌</w:t>
            </w:r>
          </w:p>
        </w:tc>
      </w:tr>
      <w:tr>
        <w:tc>
          <w:tcPr>
            <w:tcW w:type="dxa" w:w="3024"/>
            <w:shd w:val="clear" w:color="auto" w:fill="F2F1EE"/>
          </w:tcPr>
          <w:p>
            <w:r/>
            <w:r>
              <w:rPr>
                <w:rFonts w:ascii="微软雅黑" w:hAnsi="微软雅黑" w:eastAsia="微软雅黑"/>
                <w:sz w:val="17"/>
              </w:rPr>
              <w:t>二期（可暂缓）</w:t>
            </w:r>
          </w:p>
        </w:tc>
        <w:tc>
          <w:tcPr>
            <w:tcW w:type="dxa" w:w="3024"/>
            <w:shd w:val="clear" w:color="auto" w:fill="F2F1EE"/>
          </w:tcPr>
          <w:p>
            <w:r/>
            <w:r>
              <w:rPr>
                <w:rFonts w:ascii="微软雅黑" w:hAnsi="微软雅黑" w:eastAsia="微软雅黑"/>
                <w:sz w:val="17"/>
              </w:rPr>
              <w:t>高阶拓展：移动端应用、声像档案治理、在线编研高阶、跨全宗利用、知识管理、异地异质备份（洛阳灾备）、内容智能处理（OCR、语音识别组件）、二期业务系统归档接入</w:t>
            </w:r>
          </w:p>
        </w:tc>
        <w:tc>
          <w:tcPr>
            <w:tcW w:type="dxa" w:w="3024"/>
            <w:shd w:val="clear" w:color="auto" w:fill="F2F1EE"/>
          </w:tcPr>
          <w:p>
            <w:r/>
            <w:r>
              <w:rPr>
                <w:rFonts w:ascii="微软雅黑" w:hAnsi="微软雅黑" w:eastAsia="微软雅黑"/>
                <w:sz w:val="17"/>
              </w:rPr>
              <w:t>二期功能上线、灾备联调与验证</w:t>
            </w:r>
          </w:p>
        </w:tc>
      </w:tr>
      <w:tr>
        <w:tc>
          <w:tcPr>
            <w:tcW w:type="dxa" w:w="3024"/>
          </w:tcPr>
          <w:p>
            <w:r/>
            <w:r>
              <w:rPr>
                <w:rFonts w:ascii="微软雅黑" w:hAnsi="微软雅黑" w:eastAsia="微软雅黑"/>
                <w:sz w:val="17"/>
              </w:rPr>
              <w:t>三期</w:t>
            </w:r>
          </w:p>
        </w:tc>
        <w:tc>
          <w:tcPr>
            <w:tcW w:type="dxa" w:w="3024"/>
          </w:tcPr>
          <w:p>
            <w:r/>
            <w:r>
              <w:rPr>
                <w:rFonts w:ascii="微软雅黑" w:hAnsi="微软雅黑" w:eastAsia="微软雅黑"/>
                <w:sz w:val="17"/>
              </w:rPr>
              <w:t>AI智能化应用（智能提取、智能检索、智能问答、智能编研、智能采集与分析）、实体档案与虚拟库房管理、三期业务系统归档接入、试验管理系统（TDM）归档接入</w:t>
            </w:r>
          </w:p>
        </w:tc>
        <w:tc>
          <w:tcPr>
            <w:tcW w:type="dxa" w:w="3024"/>
          </w:tcPr>
          <w:p>
            <w:r/>
            <w:r>
              <w:rPr>
                <w:rFonts w:ascii="微软雅黑" w:hAnsi="微软雅黑" w:eastAsia="微软雅黑"/>
                <w:sz w:val="17"/>
              </w:rPr>
              <w:t>AI应用上线与试点推广、全量业务系统接入</w:t>
            </w:r>
          </w:p>
        </w:tc>
      </w:tr>
    </w:tbl>
    <w:p/>
    <w:p>
      <w:r>
        <w:rPr>
          <w:rFonts w:ascii="微软雅黑" w:hAnsi="微软雅黑" w:eastAsia="微软雅黑"/>
          <w:b/>
          <w:color w:val="00678F"/>
          <w:sz w:val="26"/>
        </w:rPr>
        <w:t>12.1 一期实施阶段划分</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阶段</w:t>
            </w:r>
          </w:p>
        </w:tc>
        <w:tc>
          <w:tcPr>
            <w:tcW w:type="dxa" w:w="4536"/>
            <w:shd w:val="clear" w:color="auto" w:fill="C70019"/>
          </w:tcPr>
          <w:p>
            <w:pPr>
              <w:jc w:val="center"/>
            </w:pPr>
            <w:r/>
            <w:r>
              <w:rPr>
                <w:rFonts w:ascii="微软雅黑" w:hAnsi="微软雅黑" w:eastAsia="微软雅黑"/>
                <w:b/>
                <w:color w:val="FFFFFF"/>
                <w:sz w:val="18"/>
              </w:rPr>
              <w:t>主要工作</w:t>
            </w:r>
          </w:p>
        </w:tc>
      </w:tr>
      <w:tr>
        <w:tc>
          <w:tcPr>
            <w:tcW w:type="dxa" w:w="4536"/>
          </w:tcPr>
          <w:p>
            <w:r/>
            <w:r>
              <w:rPr>
                <w:rFonts w:ascii="微软雅黑" w:hAnsi="微软雅黑" w:eastAsia="微软雅黑"/>
                <w:sz w:val="17"/>
              </w:rPr>
              <w:t>阶段一·部署与初始化</w:t>
            </w:r>
          </w:p>
        </w:tc>
        <w:tc>
          <w:tcPr>
            <w:tcW w:type="dxa" w:w="4536"/>
          </w:tcPr>
          <w:p>
            <w:r/>
            <w:r>
              <w:rPr>
                <w:rFonts w:ascii="微软雅黑" w:hAnsi="微软雅黑" w:eastAsia="微软雅黑"/>
                <w:sz w:val="17"/>
              </w:rPr>
              <w:t>系统安装部署与基础环境初始化</w:t>
            </w:r>
          </w:p>
        </w:tc>
      </w:tr>
      <w:tr>
        <w:tc>
          <w:tcPr>
            <w:tcW w:type="dxa" w:w="4536"/>
            <w:shd w:val="clear" w:color="auto" w:fill="F2F1EE"/>
          </w:tcPr>
          <w:p>
            <w:r/>
            <w:r>
              <w:rPr>
                <w:rFonts w:ascii="微软雅黑" w:hAnsi="微软雅黑" w:eastAsia="微软雅黑"/>
                <w:sz w:val="17"/>
              </w:rPr>
              <w:t>阶段二·规则配置</w:t>
            </w:r>
          </w:p>
        </w:tc>
        <w:tc>
          <w:tcPr>
            <w:tcW w:type="dxa" w:w="4536"/>
            <w:shd w:val="clear" w:color="auto" w:fill="F2F1EE"/>
          </w:tcPr>
          <w:p>
            <w:r/>
            <w:r>
              <w:rPr>
                <w:rFonts w:ascii="微软雅黑" w:hAnsi="微软雅黑" w:eastAsia="微软雅黑"/>
                <w:sz w:val="17"/>
              </w:rPr>
              <w:t>三合一表梳理、元数据方案、检测方案、流程权限等规则配置</w:t>
            </w:r>
          </w:p>
        </w:tc>
      </w:tr>
      <w:tr>
        <w:tc>
          <w:tcPr>
            <w:tcW w:type="dxa" w:w="4536"/>
          </w:tcPr>
          <w:p>
            <w:r/>
            <w:r>
              <w:rPr>
                <w:rFonts w:ascii="微软雅黑" w:hAnsi="微软雅黑" w:eastAsia="微软雅黑"/>
                <w:sz w:val="17"/>
              </w:rPr>
              <w:t>阶段三·接口联调</w:t>
            </w:r>
          </w:p>
        </w:tc>
        <w:tc>
          <w:tcPr>
            <w:tcW w:type="dxa" w:w="4536"/>
          </w:tcPr>
          <w:p>
            <w:r/>
            <w:r>
              <w:rPr>
                <w:rFonts w:ascii="微软雅黑" w:hAnsi="微软雅黑" w:eastAsia="微软雅黑"/>
                <w:sz w:val="17"/>
              </w:rPr>
              <w:t>一期各业务系统及苍穹、认证、签章等接口联调（档案系统侧）</w:t>
            </w:r>
          </w:p>
        </w:tc>
      </w:tr>
      <w:tr>
        <w:tc>
          <w:tcPr>
            <w:tcW w:type="dxa" w:w="4536"/>
            <w:shd w:val="clear" w:color="auto" w:fill="F2F1EE"/>
          </w:tcPr>
          <w:p>
            <w:r/>
            <w:r>
              <w:rPr>
                <w:rFonts w:ascii="微软雅黑" w:hAnsi="微软雅黑" w:eastAsia="微软雅黑"/>
                <w:sz w:val="17"/>
              </w:rPr>
              <w:t>阶段四·数据迁移</w:t>
            </w:r>
          </w:p>
        </w:tc>
        <w:tc>
          <w:tcPr>
            <w:tcW w:type="dxa" w:w="4536"/>
            <w:shd w:val="clear" w:color="auto" w:fill="F2F1EE"/>
          </w:tcPr>
          <w:p>
            <w:r/>
            <w:r>
              <w:rPr>
                <w:rFonts w:ascii="微软雅黑" w:hAnsi="微软雅黑" w:eastAsia="微软雅黑"/>
                <w:sz w:val="17"/>
              </w:rPr>
              <w:t>老档案系统数据迁移（条目、电子原文、关联关系）与校验</w:t>
            </w:r>
          </w:p>
        </w:tc>
      </w:tr>
      <w:tr>
        <w:tc>
          <w:tcPr>
            <w:tcW w:type="dxa" w:w="4536"/>
          </w:tcPr>
          <w:p>
            <w:r/>
            <w:r>
              <w:rPr>
                <w:rFonts w:ascii="微软雅黑" w:hAnsi="微软雅黑" w:eastAsia="微软雅黑"/>
                <w:sz w:val="17"/>
              </w:rPr>
              <w:t>阶段五·测试上线</w:t>
            </w:r>
          </w:p>
        </w:tc>
        <w:tc>
          <w:tcPr>
            <w:tcW w:type="dxa" w:w="4536"/>
          </w:tcPr>
          <w:p>
            <w:r/>
            <w:r>
              <w:rPr>
                <w:rFonts w:ascii="微软雅黑" w:hAnsi="微软雅黑" w:eastAsia="微软雅黑"/>
                <w:sz w:val="17"/>
              </w:rPr>
              <w:t>系统测试与上线试运行、试运行问题整改与回归验证</w:t>
            </w:r>
          </w:p>
        </w:tc>
      </w:tr>
      <w:tr>
        <w:tc>
          <w:tcPr>
            <w:tcW w:type="dxa" w:w="4536"/>
            <w:shd w:val="clear" w:color="auto" w:fill="F2F1EE"/>
          </w:tcPr>
          <w:p>
            <w:r/>
            <w:r>
              <w:rPr>
                <w:rFonts w:ascii="微软雅黑" w:hAnsi="微软雅黑" w:eastAsia="微软雅黑"/>
                <w:sz w:val="17"/>
              </w:rPr>
              <w:t>阶段六·验收培训</w:t>
            </w:r>
          </w:p>
        </w:tc>
        <w:tc>
          <w:tcPr>
            <w:tcW w:type="dxa" w:w="4536"/>
            <w:shd w:val="clear" w:color="auto" w:fill="F2F1EE"/>
          </w:tcPr>
          <w:p>
            <w:r/>
            <w:r>
              <w:rPr>
                <w:rFonts w:ascii="微软雅黑" w:hAnsi="微软雅黑" w:eastAsia="微软雅黑"/>
                <w:sz w:val="17"/>
              </w:rPr>
              <w:t>第三方检测验收配合、电子档案单套管理可行性评估与数字档案室认定技术支持、分层培训与教材编制</w:t>
            </w:r>
          </w:p>
        </w:tc>
      </w:tr>
    </w:tbl>
    <w:p/>
    <w:p>
      <w:r>
        <w:rPr>
          <w:rFonts w:ascii="微软雅黑" w:hAnsi="微软雅黑" w:eastAsia="微软雅黑"/>
          <w:b/>
          <w:color w:val="00678F"/>
          <w:sz w:val="26"/>
        </w:rPr>
        <w:t>12.2 二期业务拓展</w:t>
      </w:r>
    </w:p>
    <w:p>
      <w:pPr>
        <w:jc w:val="center"/>
      </w:pPr>
      <w:r>
        <w:drawing>
          <wp:inline xmlns:a="http://schemas.openxmlformats.org/drawingml/2006/main" xmlns:pic="http://schemas.openxmlformats.org/drawingml/2006/picture">
            <wp:extent cx="5580000" cy="3411798"/>
            <wp:docPr id="34" name="Picture 34"/>
            <wp:cNvGraphicFramePr>
              <a:graphicFrameLocks noChangeAspect="1"/>
            </wp:cNvGraphicFramePr>
            <a:graphic>
              <a:graphicData uri="http://schemas.openxmlformats.org/drawingml/2006/picture">
                <pic:pic>
                  <pic:nvPicPr>
                    <pic:cNvPr id="0" name="26-二期拓展.png"/>
                    <pic:cNvPicPr/>
                  </pic:nvPicPr>
                  <pic:blipFill>
                    <a:blip r:embed="rId42"/>
                    <a:stretch>
                      <a:fillRect/>
                    </a:stretch>
                  </pic:blipFill>
                  <pic:spPr>
                    <a:xfrm>
                      <a:off x="0" y="0"/>
                      <a:ext cx="5580000" cy="3411798"/>
                    </a:xfrm>
                    <a:prstGeom prst="rect"/>
                  </pic:spPr>
                </pic:pic>
              </a:graphicData>
            </a:graphic>
          </wp:inline>
        </w:drawing>
      </w:r>
    </w:p>
    <w:p>
      <w:pPr>
        <w:jc w:val="center"/>
      </w:pPr>
      <w:r>
        <w:rPr>
          <w:rFonts w:ascii="微软雅黑" w:hAnsi="微软雅黑" w:eastAsia="微软雅黑"/>
          <w:color w:val="888888"/>
          <w:sz w:val="18"/>
        </w:rPr>
        <w:t>图12-2 二期业务拓展</w:t>
      </w:r>
    </w:p>
    <w:p>
      <w:r>
        <w:rPr>
          <w:rFonts w:ascii="微软雅黑" w:hAnsi="微软雅黑" w:eastAsia="微软雅黑"/>
          <w:b/>
          <w:color w:val="00678F"/>
          <w:sz w:val="26"/>
        </w:rPr>
        <w:t>12.3 移动端应用（二期）</w:t>
      </w:r>
    </w:p>
    <w:p>
      <w:pPr>
        <w:jc w:val="center"/>
      </w:pPr>
      <w:r>
        <w:drawing>
          <wp:inline xmlns:a="http://schemas.openxmlformats.org/drawingml/2006/main" xmlns:pic="http://schemas.openxmlformats.org/drawingml/2006/picture">
            <wp:extent cx="5580000" cy="3479529"/>
            <wp:docPr id="35" name="Picture 35"/>
            <wp:cNvGraphicFramePr>
              <a:graphicFrameLocks noChangeAspect="1"/>
            </wp:cNvGraphicFramePr>
            <a:graphic>
              <a:graphicData uri="http://schemas.openxmlformats.org/drawingml/2006/picture">
                <pic:pic>
                  <pic:nvPicPr>
                    <pic:cNvPr id="0" name="38-移动端应用.png"/>
                    <pic:cNvPicPr/>
                  </pic:nvPicPr>
                  <pic:blipFill>
                    <a:blip r:embed="rId43"/>
                    <a:stretch>
                      <a:fillRect/>
                    </a:stretch>
                  </pic:blipFill>
                  <pic:spPr>
                    <a:xfrm>
                      <a:off x="0" y="0"/>
                      <a:ext cx="5580000" cy="3479529"/>
                    </a:xfrm>
                    <a:prstGeom prst="rect"/>
                  </pic:spPr>
                </pic:pic>
              </a:graphicData>
            </a:graphic>
          </wp:inline>
        </w:drawing>
      </w:r>
    </w:p>
    <w:p>
      <w:pPr>
        <w:jc w:val="center"/>
      </w:pPr>
      <w:r>
        <w:rPr>
          <w:rFonts w:ascii="微软雅黑" w:hAnsi="微软雅黑" w:eastAsia="微软雅黑"/>
          <w:color w:val="888888"/>
          <w:sz w:val="18"/>
        </w:rPr>
        <w:t>图12-3 移动端应用</w:t>
      </w:r>
    </w:p>
    <w:p>
      <w:r>
        <w:br w:type="page"/>
      </w:r>
    </w:p>
    <w:p>
      <w:pPr>
        <w:pBdr>
          <w:bottom w:val="single" w:sz="8" w:color="C70019"/>
        </w:pBdr>
      </w:pPr>
      <w:r>
        <w:rPr>
          <w:rFonts w:ascii="微软雅黑" w:hAnsi="微软雅黑" w:eastAsia="微软雅黑"/>
          <w:b/>
          <w:color w:val="C70019"/>
          <w:sz w:val="32"/>
        </w:rPr>
        <w:t>第13章 功能清单汇总（与报价单v6.0对齐）</w:t>
      </w:r>
    </w:p>
    <w:p>
      <w:r>
        <w:rPr>
          <w:rFonts w:ascii="微软雅黑" w:hAnsi="微软雅黑" w:eastAsia="微软雅黑"/>
          <w:b w:val="0"/>
          <w:sz w:val="21"/>
        </w:rPr>
        <w:t>本设计方案功能清单与《档案系统建设报价单（v6.0）》逐项对齐，按模块汇总如下。</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模块</w:t>
            </w:r>
          </w:p>
        </w:tc>
        <w:tc>
          <w:tcPr>
            <w:tcW w:type="dxa" w:w="3024"/>
            <w:shd w:val="clear" w:color="auto" w:fill="C70019"/>
          </w:tcPr>
          <w:p>
            <w:pPr>
              <w:jc w:val="center"/>
            </w:pPr>
            <w:r/>
            <w:r>
              <w:rPr>
                <w:rFonts w:ascii="微软雅黑" w:hAnsi="微软雅黑" w:eastAsia="微软雅黑"/>
                <w:b/>
                <w:color w:val="FFFFFF"/>
                <w:sz w:val="18"/>
              </w:rPr>
              <w:t>功能板块</w:t>
            </w:r>
          </w:p>
        </w:tc>
        <w:tc>
          <w:tcPr>
            <w:tcW w:type="dxa" w:w="3024"/>
            <w:shd w:val="clear" w:color="auto" w:fill="C70019"/>
          </w:tcPr>
          <w:p>
            <w:pPr>
              <w:jc w:val="center"/>
            </w:pPr>
            <w:r/>
            <w:r>
              <w:rPr>
                <w:rFonts w:ascii="微软雅黑" w:hAnsi="微软雅黑" w:eastAsia="微软雅黑"/>
                <w:b/>
                <w:color w:val="FFFFFF"/>
                <w:sz w:val="18"/>
              </w:rPr>
              <w:t>主要功能点</w:t>
            </w:r>
          </w:p>
        </w:tc>
      </w:tr>
      <w:tr>
        <w:tc>
          <w:tcPr>
            <w:tcW w:type="dxa" w:w="3024"/>
          </w:tcPr>
          <w:p>
            <w:r/>
            <w:r>
              <w:rPr>
                <w:rFonts w:ascii="微软雅黑" w:hAnsi="微软雅黑" w:eastAsia="微软雅黑"/>
                <w:sz w:val="17"/>
              </w:rPr>
              <w:t>基础资料维护</w:t>
            </w:r>
          </w:p>
        </w:tc>
        <w:tc>
          <w:tcPr>
            <w:tcW w:type="dxa" w:w="3024"/>
          </w:tcPr>
          <w:p>
            <w:r/>
            <w:r>
              <w:rPr>
                <w:rFonts w:ascii="微软雅黑" w:hAnsi="微软雅黑" w:eastAsia="微软雅黑"/>
                <w:sz w:val="17"/>
              </w:rPr>
              <w:t>分类方案/归档范围与保管期限/归档规则/四性检测方案/元数据方案</w:t>
            </w:r>
          </w:p>
        </w:tc>
        <w:tc>
          <w:tcPr>
            <w:tcW w:type="dxa" w:w="3024"/>
          </w:tcPr>
          <w:p>
            <w:r/>
            <w:r>
              <w:rPr>
                <w:rFonts w:ascii="微软雅黑" w:hAnsi="微软雅黑" w:eastAsia="微软雅黑"/>
                <w:sz w:val="17"/>
              </w:rPr>
              <w:t>分类方案管理、三合一规则库、归档模型、四性检测方案二维配置、元数据方案扩展</w:t>
            </w:r>
          </w:p>
        </w:tc>
      </w:tr>
      <w:tr>
        <w:tc>
          <w:tcPr>
            <w:tcW w:type="dxa" w:w="3024"/>
            <w:shd w:val="clear" w:color="auto" w:fill="F2F1EE"/>
          </w:tcPr>
          <w:p>
            <w:r/>
            <w:r>
              <w:rPr>
                <w:rFonts w:ascii="微软雅黑" w:hAnsi="微软雅黑" w:eastAsia="微软雅黑"/>
                <w:sz w:val="17"/>
              </w:rPr>
              <w:t>档案收集业务</w:t>
            </w:r>
          </w:p>
        </w:tc>
        <w:tc>
          <w:tcPr>
            <w:tcW w:type="dxa" w:w="3024"/>
            <w:shd w:val="clear" w:color="auto" w:fill="F2F1EE"/>
          </w:tcPr>
          <w:p>
            <w:r/>
            <w:r>
              <w:rPr>
                <w:rFonts w:ascii="微软雅黑" w:hAnsi="微软雅黑" w:eastAsia="微软雅黑"/>
                <w:sz w:val="17"/>
              </w:rPr>
              <w:t>在线接收/离线接收/登记入库/整理编目/档案接收平台（业务系统自动归档接入层）</w:t>
            </w:r>
          </w:p>
        </w:tc>
        <w:tc>
          <w:tcPr>
            <w:tcW w:type="dxa" w:w="3024"/>
            <w:shd w:val="clear" w:color="auto" w:fill="F2F1EE"/>
          </w:tcPr>
          <w:p>
            <w:r/>
            <w:r>
              <w:rPr>
                <w:rFonts w:ascii="微软雅黑" w:hAnsi="微软雅黑" w:eastAsia="微软雅黑"/>
                <w:sz w:val="17"/>
              </w:rPr>
              <w:t>归档接口服务、信息包解析、交接记录、自动归档鉴定、自动分类入库、十二节点流程协同、适配器管理、多类型接口接入、元数据自动采集、智能归档模型、归档自动触发引擎、电子签章自动应用、进度监控与审计</w:t>
            </w:r>
          </w:p>
        </w:tc>
      </w:tr>
      <w:tr>
        <w:tc>
          <w:tcPr>
            <w:tcW w:type="dxa" w:w="3024"/>
          </w:tcPr>
          <w:p>
            <w:r/>
            <w:r>
              <w:rPr>
                <w:rFonts w:ascii="微软雅黑" w:hAnsi="微软雅黑" w:eastAsia="微软雅黑"/>
                <w:sz w:val="17"/>
              </w:rPr>
              <w:t>档案库藏管理业务</w:t>
            </w:r>
          </w:p>
        </w:tc>
        <w:tc>
          <w:tcPr>
            <w:tcW w:type="dxa" w:w="3024"/>
          </w:tcPr>
          <w:p>
            <w:r/>
            <w:r>
              <w:rPr>
                <w:rFonts w:ascii="微软雅黑" w:hAnsi="微软雅黑" w:eastAsia="微软雅黑"/>
                <w:sz w:val="17"/>
              </w:rPr>
              <w:t>库藏管理/全过程元数据/四性检测/资源维护/鉴定销毁/内容管理/实体档案与库房管理</w:t>
            </w:r>
          </w:p>
        </w:tc>
        <w:tc>
          <w:tcPr>
            <w:tcW w:type="dxa" w:w="3024"/>
          </w:tcPr>
          <w:p>
            <w:r/>
            <w:r>
              <w:rPr>
                <w:rFonts w:ascii="微软雅黑" w:hAnsi="微软雅黑" w:eastAsia="微软雅黑"/>
                <w:sz w:val="17"/>
              </w:rPr>
              <w:t>多库管理、元数据自动采集与管理过程记录、定期自动检测、资源维护流程、鉴定销毁流程、OCR/语音识别、实体档案与虚拟库房（三期）</w:t>
            </w:r>
          </w:p>
        </w:tc>
      </w:tr>
      <w:tr>
        <w:tc>
          <w:tcPr>
            <w:tcW w:type="dxa" w:w="3024"/>
            <w:shd w:val="clear" w:color="auto" w:fill="F2F1EE"/>
          </w:tcPr>
          <w:p>
            <w:r/>
            <w:r>
              <w:rPr>
                <w:rFonts w:ascii="微软雅黑" w:hAnsi="微软雅黑" w:eastAsia="微软雅黑"/>
                <w:sz w:val="17"/>
              </w:rPr>
              <w:t>档案利用业务</w:t>
            </w:r>
          </w:p>
        </w:tc>
        <w:tc>
          <w:tcPr>
            <w:tcW w:type="dxa" w:w="3024"/>
            <w:shd w:val="clear" w:color="auto" w:fill="F2F1EE"/>
          </w:tcPr>
          <w:p>
            <w:r/>
            <w:r>
              <w:rPr>
                <w:rFonts w:ascii="微软雅黑" w:hAnsi="微软雅黑" w:eastAsia="微软雅黑"/>
                <w:sz w:val="17"/>
              </w:rPr>
              <w:t>检索服务/利用服务/编研/前台与工作台</w:t>
            </w:r>
          </w:p>
        </w:tc>
        <w:tc>
          <w:tcPr>
            <w:tcW w:type="dxa" w:w="3024"/>
            <w:shd w:val="clear" w:color="auto" w:fill="F2F1EE"/>
          </w:tcPr>
          <w:p>
            <w:r/>
            <w:r>
              <w:rPr>
                <w:rFonts w:ascii="微软雅黑" w:hAnsi="微软雅黑" w:eastAsia="微软雅黑"/>
                <w:sz w:val="17"/>
              </w:rPr>
              <w:t>多维检索与全文检索、借阅申请与十二节点审批、三级权限管控、协查推送、实体利用、评价反馈、编研管理、利用中心与工作台</w:t>
            </w:r>
          </w:p>
        </w:tc>
      </w:tr>
      <w:tr>
        <w:tc>
          <w:tcPr>
            <w:tcW w:type="dxa" w:w="3024"/>
          </w:tcPr>
          <w:p>
            <w:r/>
            <w:r>
              <w:rPr>
                <w:rFonts w:ascii="微软雅黑" w:hAnsi="微软雅黑" w:eastAsia="微软雅黑"/>
                <w:sz w:val="17"/>
              </w:rPr>
              <w:t>档案统计与检查业务</w:t>
            </w:r>
          </w:p>
        </w:tc>
        <w:tc>
          <w:tcPr>
            <w:tcW w:type="dxa" w:w="3024"/>
          </w:tcPr>
          <w:p>
            <w:r/>
            <w:r>
              <w:rPr>
                <w:rFonts w:ascii="微软雅黑" w:hAnsi="微软雅黑" w:eastAsia="微软雅黑"/>
                <w:sz w:val="17"/>
              </w:rPr>
              <w:t>统计管理/数字档案驾驶舱/考评管理</w:t>
            </w:r>
          </w:p>
        </w:tc>
        <w:tc>
          <w:tcPr>
            <w:tcW w:type="dxa" w:w="3024"/>
          </w:tcPr>
          <w:p>
            <w:r/>
            <w:r>
              <w:rPr>
                <w:rFonts w:ascii="微软雅黑" w:hAnsi="微软雅黑" w:eastAsia="微软雅黑"/>
                <w:sz w:val="17"/>
              </w:rPr>
              <w:t>库藏统计、利用情况统计、业务过程统计、统计年报、统计报表、驾驶舱监控、考评管理</w:t>
            </w:r>
          </w:p>
        </w:tc>
      </w:tr>
      <w:tr>
        <w:tc>
          <w:tcPr>
            <w:tcW w:type="dxa" w:w="3024"/>
            <w:shd w:val="clear" w:color="auto" w:fill="F2F1EE"/>
          </w:tcPr>
          <w:p>
            <w:r/>
            <w:r>
              <w:rPr>
                <w:rFonts w:ascii="微软雅黑" w:hAnsi="微软雅黑" w:eastAsia="微软雅黑"/>
                <w:sz w:val="17"/>
              </w:rPr>
              <w:t>系统配置与安全管理</w:t>
            </w:r>
          </w:p>
        </w:tc>
        <w:tc>
          <w:tcPr>
            <w:tcW w:type="dxa" w:w="3024"/>
            <w:shd w:val="clear" w:color="auto" w:fill="F2F1EE"/>
          </w:tcPr>
          <w:p>
            <w:r/>
            <w:r>
              <w:rPr>
                <w:rFonts w:ascii="微软雅黑" w:hAnsi="微软雅黑" w:eastAsia="微软雅黑"/>
                <w:sz w:val="17"/>
              </w:rPr>
              <w:t>业务配置/系统管理/安全管理</w:t>
            </w:r>
          </w:p>
        </w:tc>
        <w:tc>
          <w:tcPr>
            <w:tcW w:type="dxa" w:w="3024"/>
            <w:shd w:val="clear" w:color="auto" w:fill="F2F1EE"/>
          </w:tcPr>
          <w:p>
            <w:r/>
            <w:r>
              <w:rPr>
                <w:rFonts w:ascii="微软雅黑" w:hAnsi="微软雅黑" w:eastAsia="微软雅黑"/>
                <w:sz w:val="17"/>
              </w:rPr>
              <w:t>全宗与门类配置、目录与报表配置、流程配置、组织与用户、资源与发布、角色与授权、三员分立、登录安全、水印防扩散、日志与审计</w:t>
            </w:r>
          </w:p>
        </w:tc>
      </w:tr>
      <w:tr>
        <w:tc>
          <w:tcPr>
            <w:tcW w:type="dxa" w:w="3024"/>
          </w:tcPr>
          <w:p>
            <w:r/>
            <w:r>
              <w:rPr>
                <w:rFonts w:ascii="微软雅黑" w:hAnsi="微软雅黑" w:eastAsia="微软雅黑"/>
                <w:sz w:val="17"/>
              </w:rPr>
              <w:t>平台集成与集团报送</w:t>
            </w:r>
          </w:p>
        </w:tc>
        <w:tc>
          <w:tcPr>
            <w:tcW w:type="dxa" w:w="3024"/>
          </w:tcPr>
          <w:p>
            <w:r/>
            <w:r>
              <w:rPr>
                <w:rFonts w:ascii="微软雅黑" w:hAnsi="微软雅黑" w:eastAsia="微软雅黑"/>
                <w:sz w:val="17"/>
              </w:rPr>
              <w:t>统一认证与组织同步/集成组件/集团数据报送</w:t>
            </w:r>
          </w:p>
        </w:tc>
        <w:tc>
          <w:tcPr>
            <w:tcW w:type="dxa" w:w="3024"/>
          </w:tcPr>
          <w:p>
            <w:r/>
            <w:r>
              <w:rPr>
                <w:rFonts w:ascii="微软雅黑" w:hAnsi="微软雅黑" w:eastAsia="微软雅黑"/>
                <w:sz w:val="17"/>
              </w:rPr>
              <w:t>S-hr/域库/SSO、苍穹云统一待办与审批回传、流式转版式/OCR/签章/全文检索组件、集团数据报送</w:t>
            </w:r>
          </w:p>
        </w:tc>
      </w:tr>
      <w:tr>
        <w:tc>
          <w:tcPr>
            <w:tcW w:type="dxa" w:w="3024"/>
            <w:shd w:val="clear" w:color="auto" w:fill="F2F1EE"/>
          </w:tcPr>
          <w:p>
            <w:r/>
            <w:r>
              <w:rPr>
                <w:rFonts w:ascii="微软雅黑" w:hAnsi="微软雅黑" w:eastAsia="微软雅黑"/>
                <w:sz w:val="17"/>
              </w:rPr>
              <w:t>信创适配与部署</w:t>
            </w:r>
          </w:p>
        </w:tc>
        <w:tc>
          <w:tcPr>
            <w:tcW w:type="dxa" w:w="3024"/>
            <w:shd w:val="clear" w:color="auto" w:fill="F2F1EE"/>
          </w:tcPr>
          <w:p>
            <w:r/>
            <w:r>
              <w:rPr>
                <w:rFonts w:ascii="微软雅黑" w:hAnsi="微软雅黑" w:eastAsia="微软雅黑"/>
                <w:sz w:val="17"/>
              </w:rPr>
              <w:t>部署架构/信创生态适配</w:t>
            </w:r>
          </w:p>
        </w:tc>
        <w:tc>
          <w:tcPr>
            <w:tcW w:type="dxa" w:w="3024"/>
            <w:shd w:val="clear" w:color="auto" w:fill="F2F1EE"/>
          </w:tcPr>
          <w:p>
            <w:r/>
            <w:r>
              <w:rPr>
                <w:rFonts w:ascii="微软雅黑" w:hAnsi="微软雅黑" w:eastAsia="微软雅黑"/>
                <w:sz w:val="17"/>
              </w:rPr>
              <w:t>前后台分离部署、Docker容器化、高性能高可用、国产操作系统/数据库/中间件/浏览器适配、等保二级整改</w:t>
            </w:r>
          </w:p>
        </w:tc>
      </w:tr>
      <w:tr>
        <w:tc>
          <w:tcPr>
            <w:tcW w:type="dxa" w:w="3024"/>
          </w:tcPr>
          <w:p>
            <w:r/>
            <w:r>
              <w:rPr>
                <w:rFonts w:ascii="微软雅黑" w:hAnsi="微软雅黑" w:eastAsia="微软雅黑"/>
                <w:sz w:val="17"/>
              </w:rPr>
              <w:t>实施服务</w:t>
            </w:r>
          </w:p>
        </w:tc>
        <w:tc>
          <w:tcPr>
            <w:tcW w:type="dxa" w:w="3024"/>
          </w:tcPr>
          <w:p>
            <w:r/>
            <w:r>
              <w:rPr>
                <w:rFonts w:ascii="微软雅黑" w:hAnsi="微软雅黑" w:eastAsia="微软雅黑"/>
                <w:sz w:val="17"/>
              </w:rPr>
              <w:t>项目实施</w:t>
            </w:r>
          </w:p>
        </w:tc>
        <w:tc>
          <w:tcPr>
            <w:tcW w:type="dxa" w:w="3024"/>
          </w:tcPr>
          <w:p>
            <w:r/>
            <w:r>
              <w:rPr>
                <w:rFonts w:ascii="微软雅黑" w:hAnsi="微软雅黑" w:eastAsia="微软雅黑"/>
                <w:sz w:val="17"/>
              </w:rPr>
              <w:t>部署初始化、联调测试、数据迁移、验收支持、培训</w:t>
            </w:r>
          </w:p>
        </w:tc>
      </w:tr>
      <w:tr>
        <w:tc>
          <w:tcPr>
            <w:tcW w:type="dxa" w:w="3024"/>
            <w:shd w:val="clear" w:color="auto" w:fill="F2F1EE"/>
          </w:tcPr>
          <w:p>
            <w:r/>
            <w:r>
              <w:rPr>
                <w:rFonts w:ascii="微软雅黑" w:hAnsi="微软雅黑" w:eastAsia="微软雅黑"/>
                <w:sz w:val="17"/>
              </w:rPr>
              <w:t>流式文档签发平台（可选）</w:t>
            </w:r>
          </w:p>
        </w:tc>
        <w:tc>
          <w:tcPr>
            <w:tcW w:type="dxa" w:w="3024"/>
            <w:shd w:val="clear" w:color="auto" w:fill="F2F1EE"/>
          </w:tcPr>
          <w:p>
            <w:r/>
            <w:r>
              <w:rPr>
                <w:rFonts w:ascii="微软雅黑" w:hAnsi="微软雅黑" w:eastAsia="微软雅黑"/>
                <w:sz w:val="17"/>
              </w:rPr>
              <w:t>流式文档签发</w:t>
            </w:r>
          </w:p>
        </w:tc>
        <w:tc>
          <w:tcPr>
            <w:tcW w:type="dxa" w:w="3024"/>
            <w:shd w:val="clear" w:color="auto" w:fill="F2F1EE"/>
          </w:tcPr>
          <w:p>
            <w:r/>
            <w:r>
              <w:rPr>
                <w:rFonts w:ascii="微软雅黑" w:hAnsi="微软雅黑" w:eastAsia="微软雅黑"/>
                <w:sz w:val="17"/>
              </w:rPr>
              <w:t>文档签发、签到签收、任务派发、验真归档（建议自建，单列）</w:t>
            </w:r>
          </w:p>
        </w:tc>
      </w:tr>
      <w:tr>
        <w:tc>
          <w:tcPr>
            <w:tcW w:type="dxa" w:w="3024"/>
          </w:tcPr>
          <w:p>
            <w:r/>
            <w:r>
              <w:rPr>
                <w:rFonts w:ascii="微软雅黑" w:hAnsi="微软雅黑" w:eastAsia="微软雅黑"/>
                <w:sz w:val="17"/>
              </w:rPr>
              <w:t>AI智能应用（三期）</w:t>
            </w:r>
          </w:p>
        </w:tc>
        <w:tc>
          <w:tcPr>
            <w:tcW w:type="dxa" w:w="3024"/>
          </w:tcPr>
          <w:p>
            <w:r/>
            <w:r>
              <w:rPr>
                <w:rFonts w:ascii="微软雅黑" w:hAnsi="微软雅黑" w:eastAsia="微软雅黑"/>
                <w:sz w:val="17"/>
              </w:rPr>
              <w:t>智能提取/智能检索/智能问答/智能编研/智能采集与分析</w:t>
            </w:r>
          </w:p>
        </w:tc>
        <w:tc>
          <w:tcPr>
            <w:tcW w:type="dxa" w:w="3024"/>
          </w:tcPr>
          <w:p>
            <w:r/>
            <w:r>
              <w:rPr>
                <w:rFonts w:ascii="微软雅黑" w:hAnsi="微软雅黑" w:eastAsia="微软雅黑"/>
                <w:sz w:val="17"/>
              </w:rPr>
              <w:t>AI元数据提取、自然语言检索、多模态检索、长文本问答、知识图谱、生成式编研、外网爬取、智能盘库</w:t>
            </w:r>
          </w:p>
        </w:tc>
      </w:tr>
      <w:tr>
        <w:tc>
          <w:tcPr>
            <w:tcW w:type="dxa" w:w="3024"/>
            <w:shd w:val="clear" w:color="auto" w:fill="F2F1EE"/>
          </w:tcPr>
          <w:p>
            <w:r/>
            <w:r>
              <w:rPr>
                <w:rFonts w:ascii="微软雅黑" w:hAnsi="微软雅黑" w:eastAsia="微软雅黑"/>
                <w:sz w:val="17"/>
              </w:rPr>
              <w:t>档案业务功能拓展（二期）</w:t>
            </w:r>
          </w:p>
        </w:tc>
        <w:tc>
          <w:tcPr>
            <w:tcW w:type="dxa" w:w="3024"/>
            <w:shd w:val="clear" w:color="auto" w:fill="F2F1EE"/>
          </w:tcPr>
          <w:p>
            <w:r/>
            <w:r>
              <w:rPr>
                <w:rFonts w:ascii="微软雅黑" w:hAnsi="微软雅黑" w:eastAsia="微软雅黑"/>
                <w:sz w:val="17"/>
              </w:rPr>
              <w:t>移动端/声像治理/编研高阶/跨全宗利用/知识管理/异地备份</w:t>
            </w:r>
          </w:p>
        </w:tc>
        <w:tc>
          <w:tcPr>
            <w:tcW w:type="dxa" w:w="3024"/>
            <w:shd w:val="clear" w:color="auto" w:fill="F2F1EE"/>
          </w:tcPr>
          <w:p>
            <w:r/>
            <w:r>
              <w:rPr>
                <w:rFonts w:ascii="微软雅黑" w:hAnsi="微软雅黑" w:eastAsia="微软雅黑"/>
                <w:sz w:val="17"/>
              </w:rPr>
              <w:t>移动端应用、声像去重、在线编研高阶、跨全宗利用、知识库、洛阳异地灾备</w:t>
            </w:r>
          </w:p>
        </w:tc>
      </w:tr>
    </w:tbl>
    <w:p/>
    <w:p>
      <w:r>
        <w:rPr>
          <w:rFonts w:ascii="微软雅黑" w:hAnsi="微软雅黑" w:eastAsia="微软雅黑"/>
          <w:b w:val="0"/>
          <w:sz w:val="21"/>
        </w:rPr>
        <w:t>说明：每个功能点的开发/实施人天均不超过5人天；一期160万元（归档整理平台61万＋资源管理平台99万，含融入一期的档案接收平台业务系统侧自动归档采集层）、二期32万元、三期89万元，合计281万元，与《可行性研究报告》应用软件部分费用一致；流式文档签发平台单独列示、不计入合计。</w:t>
      </w:r>
    </w:p>
    <w:p>
      <w:r>
        <w:br w:type="page"/>
      </w:r>
    </w:p>
    <w:p>
      <w:pPr>
        <w:pBdr>
          <w:bottom w:val="single" w:sz="8" w:color="C70019"/>
        </w:pBdr>
      </w:pPr>
      <w:r>
        <w:rPr>
          <w:rFonts w:ascii="微软雅黑" w:hAnsi="微软雅黑" w:eastAsia="微软雅黑"/>
          <w:b/>
          <w:color w:val="C70019"/>
          <w:sz w:val="32"/>
        </w:rPr>
        <w:t>第14章 建设指标与效益分析</w:t>
      </w:r>
    </w:p>
    <w:p>
      <w:pPr>
        <w:jc w:val="center"/>
      </w:pPr>
      <w:r>
        <w:drawing>
          <wp:inline xmlns:a="http://schemas.openxmlformats.org/drawingml/2006/main" xmlns:pic="http://schemas.openxmlformats.org/drawingml/2006/picture">
            <wp:extent cx="5580000" cy="3316114"/>
            <wp:docPr id="36" name="Picture 36"/>
            <wp:cNvGraphicFramePr>
              <a:graphicFrameLocks noChangeAspect="1"/>
            </wp:cNvGraphicFramePr>
            <a:graphic>
              <a:graphicData uri="http://schemas.openxmlformats.org/drawingml/2006/picture">
                <pic:pic>
                  <pic:nvPicPr>
                    <pic:cNvPr id="0" name="30-效益分析.png"/>
                    <pic:cNvPicPr/>
                  </pic:nvPicPr>
                  <pic:blipFill>
                    <a:blip r:embed="rId44"/>
                    <a:stretch>
                      <a:fillRect/>
                    </a:stretch>
                  </pic:blipFill>
                  <pic:spPr>
                    <a:xfrm>
                      <a:off x="0" y="0"/>
                      <a:ext cx="5580000" cy="3316114"/>
                    </a:xfrm>
                    <a:prstGeom prst="rect"/>
                  </pic:spPr>
                </pic:pic>
              </a:graphicData>
            </a:graphic>
          </wp:inline>
        </w:drawing>
      </w:r>
    </w:p>
    <w:p>
      <w:pPr>
        <w:jc w:val="center"/>
      </w:pPr>
      <w:r>
        <w:rPr>
          <w:rFonts w:ascii="微软雅黑" w:hAnsi="微软雅黑" w:eastAsia="微软雅黑"/>
          <w:color w:val="888888"/>
          <w:sz w:val="18"/>
        </w:rPr>
        <w:t>图14-1 建设指标与经济效益</w:t>
      </w:r>
    </w:p>
    <w:p>
      <w:r>
        <w:rPr>
          <w:rFonts w:ascii="微软雅黑" w:hAnsi="微软雅黑" w:eastAsia="微软雅黑"/>
          <w:b/>
          <w:color w:val="00678F"/>
          <w:sz w:val="26"/>
        </w:rPr>
        <w:t>14.1 建设指标</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维度</w:t>
            </w:r>
          </w:p>
        </w:tc>
        <w:tc>
          <w:tcPr>
            <w:tcW w:type="dxa" w:w="4536"/>
            <w:shd w:val="clear" w:color="auto" w:fill="C70019"/>
          </w:tcPr>
          <w:p>
            <w:pPr>
              <w:jc w:val="center"/>
            </w:pPr>
            <w:r/>
            <w:r>
              <w:rPr>
                <w:rFonts w:ascii="微软雅黑" w:hAnsi="微软雅黑" w:eastAsia="微软雅黑"/>
                <w:b/>
                <w:color w:val="FFFFFF"/>
                <w:sz w:val="18"/>
              </w:rPr>
              <w:t>指标</w:t>
            </w:r>
          </w:p>
        </w:tc>
      </w:tr>
      <w:tr>
        <w:tc>
          <w:tcPr>
            <w:tcW w:type="dxa" w:w="4536"/>
          </w:tcPr>
          <w:p>
            <w:r/>
            <w:r>
              <w:rPr>
                <w:rFonts w:ascii="微软雅黑" w:hAnsi="微软雅黑" w:eastAsia="微软雅黑"/>
                <w:sz w:val="17"/>
              </w:rPr>
              <w:t>功能覆盖</w:t>
            </w:r>
          </w:p>
        </w:tc>
        <w:tc>
          <w:tcPr>
            <w:tcW w:type="dxa" w:w="4536"/>
          </w:tcPr>
          <w:p>
            <w:r/>
            <w:r>
              <w:rPr>
                <w:rFonts w:ascii="微软雅黑" w:hAnsi="微软雅黑" w:eastAsia="微软雅黑"/>
                <w:sz w:val="17"/>
              </w:rPr>
              <w:t>档案数据接收/管理/共享利用/长期保存四大平台全覆盖，功能与报价单v6.0逐项对齐</w:t>
            </w:r>
          </w:p>
        </w:tc>
      </w:tr>
      <w:tr>
        <w:tc>
          <w:tcPr>
            <w:tcW w:type="dxa" w:w="4536"/>
            <w:shd w:val="clear" w:color="auto" w:fill="F2F1EE"/>
          </w:tcPr>
          <w:p>
            <w:r/>
            <w:r>
              <w:rPr>
                <w:rFonts w:ascii="微软雅黑" w:hAnsi="微软雅黑" w:eastAsia="微软雅黑"/>
                <w:sz w:val="17"/>
              </w:rPr>
              <w:t>业务系统接入</w:t>
            </w:r>
          </w:p>
        </w:tc>
        <w:tc>
          <w:tcPr>
            <w:tcW w:type="dxa" w:w="4536"/>
            <w:shd w:val="clear" w:color="auto" w:fill="F2F1EE"/>
          </w:tcPr>
          <w:p>
            <w:r/>
            <w:r>
              <w:rPr>
                <w:rFonts w:ascii="微软雅黑" w:hAnsi="微软雅黑" w:eastAsia="微软雅黑"/>
                <w:sz w:val="17"/>
              </w:rPr>
              <w:t>一期9个业务系统在线归档集成，中长期覆盖36个业务系统</w:t>
            </w:r>
          </w:p>
        </w:tc>
      </w:tr>
      <w:tr>
        <w:tc>
          <w:tcPr>
            <w:tcW w:type="dxa" w:w="4536"/>
          </w:tcPr>
          <w:p>
            <w:r/>
            <w:r>
              <w:rPr>
                <w:rFonts w:ascii="微软雅黑" w:hAnsi="微软雅黑" w:eastAsia="微软雅黑"/>
                <w:sz w:val="17"/>
              </w:rPr>
              <w:t>归档自动化</w:t>
            </w:r>
          </w:p>
        </w:tc>
        <w:tc>
          <w:tcPr>
            <w:tcW w:type="dxa" w:w="4536"/>
          </w:tcPr>
          <w:p>
            <w:r/>
            <w:r>
              <w:rPr>
                <w:rFonts w:ascii="微软雅黑" w:hAnsi="微软雅黑" w:eastAsia="微软雅黑"/>
                <w:sz w:val="17"/>
              </w:rPr>
              <w:t>自动归档十一环节全程自动化，业务完成→自动提取→转换→检测→封装→移交</w:t>
            </w:r>
          </w:p>
        </w:tc>
      </w:tr>
      <w:tr>
        <w:tc>
          <w:tcPr>
            <w:tcW w:type="dxa" w:w="4536"/>
            <w:shd w:val="clear" w:color="auto" w:fill="F2F1EE"/>
          </w:tcPr>
          <w:p>
            <w:r/>
            <w:r>
              <w:rPr>
                <w:rFonts w:ascii="微软雅黑" w:hAnsi="微软雅黑" w:eastAsia="微软雅黑"/>
                <w:sz w:val="17"/>
              </w:rPr>
              <w:t>四性检测</w:t>
            </w:r>
          </w:p>
        </w:tc>
        <w:tc>
          <w:tcPr>
            <w:tcW w:type="dxa" w:w="4536"/>
            <w:shd w:val="clear" w:color="auto" w:fill="F2F1EE"/>
          </w:tcPr>
          <w:p>
            <w:r/>
            <w:r>
              <w:rPr>
                <w:rFonts w:ascii="微软雅黑" w:hAnsi="微软雅黑" w:eastAsia="微软雅黑"/>
                <w:sz w:val="17"/>
              </w:rPr>
              <w:t>归档、移交接收、长期保存三环节，元数据/电子文件/信息包三层次全覆盖</w:t>
            </w:r>
          </w:p>
        </w:tc>
      </w:tr>
      <w:tr>
        <w:tc>
          <w:tcPr>
            <w:tcW w:type="dxa" w:w="4536"/>
          </w:tcPr>
          <w:p>
            <w:r/>
            <w:r>
              <w:rPr>
                <w:rFonts w:ascii="微软雅黑" w:hAnsi="微软雅黑" w:eastAsia="微软雅黑"/>
                <w:sz w:val="17"/>
              </w:rPr>
              <w:t>长期保存</w:t>
            </w:r>
          </w:p>
        </w:tc>
        <w:tc>
          <w:tcPr>
            <w:tcW w:type="dxa" w:w="4536"/>
          </w:tcPr>
          <w:p>
            <w:r/>
            <w:r>
              <w:rPr>
                <w:rFonts w:ascii="微软雅黑" w:hAnsi="微软雅黑" w:eastAsia="微软雅黑"/>
                <w:sz w:val="17"/>
              </w:rPr>
              <w:t>磁光电混合存储，在线+离线+第三方协同保存，支持异地异质备份</w:t>
            </w:r>
          </w:p>
        </w:tc>
      </w:tr>
      <w:tr>
        <w:tc>
          <w:tcPr>
            <w:tcW w:type="dxa" w:w="4536"/>
            <w:shd w:val="clear" w:color="auto" w:fill="F2F1EE"/>
          </w:tcPr>
          <w:p>
            <w:r/>
            <w:r>
              <w:rPr>
                <w:rFonts w:ascii="微软雅黑" w:hAnsi="微软雅黑" w:eastAsia="微软雅黑"/>
                <w:sz w:val="17"/>
              </w:rPr>
              <w:t>检索性能</w:t>
            </w:r>
          </w:p>
        </w:tc>
        <w:tc>
          <w:tcPr>
            <w:tcW w:type="dxa" w:w="4536"/>
            <w:shd w:val="clear" w:color="auto" w:fill="F2F1EE"/>
          </w:tcPr>
          <w:p>
            <w:r/>
            <w:r>
              <w:rPr>
                <w:rFonts w:ascii="微软雅黑" w:hAnsi="微软雅黑" w:eastAsia="微软雅黑"/>
                <w:sz w:val="17"/>
              </w:rPr>
              <w:t>全文检索单次响应≤15s，跨全宗、跨门类</w:t>
            </w:r>
          </w:p>
        </w:tc>
      </w:tr>
      <w:tr>
        <w:tc>
          <w:tcPr>
            <w:tcW w:type="dxa" w:w="4536"/>
          </w:tcPr>
          <w:p>
            <w:r/>
            <w:r>
              <w:rPr>
                <w:rFonts w:ascii="微软雅黑" w:hAnsi="微软雅黑" w:eastAsia="微软雅黑"/>
                <w:sz w:val="17"/>
              </w:rPr>
              <w:t>信创合规</w:t>
            </w:r>
          </w:p>
        </w:tc>
        <w:tc>
          <w:tcPr>
            <w:tcW w:type="dxa" w:w="4536"/>
          </w:tcPr>
          <w:p>
            <w:r/>
            <w:r>
              <w:rPr>
                <w:rFonts w:ascii="微软雅黑" w:hAnsi="微软雅黑" w:eastAsia="微软雅黑"/>
                <w:sz w:val="17"/>
              </w:rPr>
              <w:t>操作系统/数据库/中间件/浏览器全面国产化适配，等保二级</w:t>
            </w:r>
          </w:p>
        </w:tc>
      </w:tr>
      <w:tr>
        <w:tc>
          <w:tcPr>
            <w:tcW w:type="dxa" w:w="4536"/>
            <w:shd w:val="clear" w:color="auto" w:fill="F2F1EE"/>
          </w:tcPr>
          <w:p>
            <w:r/>
            <w:r>
              <w:rPr>
                <w:rFonts w:ascii="微软雅黑" w:hAnsi="微软雅黑" w:eastAsia="微软雅黑"/>
                <w:sz w:val="17"/>
              </w:rPr>
              <w:t>业务指标</w:t>
            </w:r>
          </w:p>
        </w:tc>
        <w:tc>
          <w:tcPr>
            <w:tcW w:type="dxa" w:w="4536"/>
            <w:shd w:val="clear" w:color="auto" w:fill="F2F1EE"/>
          </w:tcPr>
          <w:p>
            <w:r/>
            <w:r>
              <w:rPr>
                <w:rFonts w:ascii="微软雅黑" w:hAnsi="微软雅黑" w:eastAsia="微软雅黑"/>
                <w:sz w:val="17"/>
              </w:rPr>
              <w:t>档案收集量提升70%、档案整理效率提升30倍、归档表单电子化率达到60-70%</w:t>
            </w:r>
          </w:p>
        </w:tc>
      </w:tr>
    </w:tbl>
    <w:p/>
    <w:p>
      <w:r>
        <w:rPr>
          <w:rFonts w:ascii="微软雅黑" w:hAnsi="微软雅黑" w:eastAsia="微软雅黑"/>
          <w:b/>
          <w:color w:val="00678F"/>
          <w:sz w:val="26"/>
        </w:rPr>
        <w:t>14.2 效益分析</w:t>
      </w:r>
    </w:p>
    <w:p>
      <w:pPr>
        <w:pStyle w:val="ListBullet"/>
      </w:pPr>
      <w:r>
        <w:rPr>
          <w:rFonts w:ascii="微软雅黑" w:hAnsi="微软雅黑" w:eastAsia="微软雅黑"/>
          <w:b/>
        </w:rPr>
        <w:t>直接经济效益：</w:t>
      </w:r>
      <w:r>
        <w:rPr>
          <w:rFonts w:ascii="微软雅黑" w:hAnsi="微软雅黑" w:eastAsia="微软雅黑"/>
        </w:rPr>
        <w:t>每年约132万元（人工成本约80万、档案耗材约20万、库房配置约8万、数字化扫描约24万），按一期投入计投资回收周期约4年；</w:t>
      </w:r>
    </w:p>
    <w:p>
      <w:pPr>
        <w:pStyle w:val="ListBullet"/>
      </w:pPr>
      <w:r>
        <w:rPr>
          <w:rFonts w:ascii="微软雅黑" w:hAnsi="微软雅黑" w:eastAsia="微软雅黑"/>
          <w:b/>
        </w:rPr>
        <w:t>合规价值：</w:t>
      </w:r>
      <w:r>
        <w:rPr>
          <w:rFonts w:ascii="微软雅黑" w:hAnsi="微软雅黑" w:eastAsia="微软雅黑"/>
        </w:rPr>
        <w:t>满足国家法规标准，解决重要电子档案对外证据效力不足问题，为"人财物"等关键业务兜住合规底线；</w:t>
      </w:r>
    </w:p>
    <w:p>
      <w:pPr>
        <w:pStyle w:val="ListBullet"/>
      </w:pPr>
      <w:r>
        <w:rPr>
          <w:rFonts w:ascii="微软雅黑" w:hAnsi="微软雅黑" w:eastAsia="微软雅黑"/>
          <w:b/>
        </w:rPr>
        <w:t>效率价值：</w:t>
      </w:r>
      <w:r>
        <w:rPr>
          <w:rFonts w:ascii="微软雅黑" w:hAnsi="微软雅黑" w:eastAsia="微软雅黑"/>
        </w:rPr>
        <w:t>业务系统办结后自动传输归档、按天实时归档，归档监督任务量大幅下降；字段映射与归档模型预置整理规则，档案收集效率较人工提升数十倍；</w:t>
      </w:r>
    </w:p>
    <w:p>
      <w:pPr>
        <w:pStyle w:val="ListBullet"/>
      </w:pPr>
      <w:r>
        <w:rPr>
          <w:rFonts w:ascii="微软雅黑" w:hAnsi="微软雅黑" w:eastAsia="微软雅黑"/>
          <w:b/>
        </w:rPr>
        <w:t>知识价值：</w:t>
      </w:r>
      <w:r>
        <w:rPr>
          <w:rFonts w:ascii="微软雅黑" w:hAnsi="微软雅黑" w:eastAsia="微软雅黑"/>
        </w:rPr>
        <w:t>引入AI智能体、知识图谱、全文检索，围绕业务问题快速总结历史经验、给出建议，深化档案知识资源开发；</w:t>
      </w:r>
    </w:p>
    <w:p>
      <w:pPr>
        <w:pStyle w:val="ListBullet"/>
      </w:pPr>
      <w:r>
        <w:rPr>
          <w:rFonts w:ascii="微软雅黑" w:hAnsi="微软雅黑" w:eastAsia="微软雅黑"/>
          <w:b/>
        </w:rPr>
        <w:t>保存价值：</w:t>
      </w:r>
      <w:r>
        <w:rPr>
          <w:rFonts w:ascii="微软雅黑" w:hAnsi="微软雅黑" w:eastAsia="微软雅黑"/>
        </w:rPr>
        <w:t>完善存储备份机制，把重要业务数据可靠保存年限提升至100年以上，通过数据分流使长期保存成本下降约九成。</w:t>
      </w:r>
    </w:p>
    <w:p>
      <w:pPr>
        <w:pBdr>
          <w:bottom w:val="single" w:sz="8" w:color="C70019"/>
        </w:pBdr>
      </w:pPr>
      <w:r>
        <w:rPr>
          <w:rFonts w:ascii="微软雅黑" w:hAnsi="微软雅黑" w:eastAsia="微软雅黑"/>
          <w:b/>
          <w:color w:val="C70019"/>
          <w:sz w:val="32"/>
        </w:rPr>
        <w:t>第15章 风险分析与保障措施</w:t>
      </w:r>
    </w:p>
    <w:p>
      <w:pPr>
        <w:jc w:val="center"/>
      </w:pPr>
      <w:r>
        <w:drawing>
          <wp:inline xmlns:a="http://schemas.openxmlformats.org/drawingml/2006/main" xmlns:pic="http://schemas.openxmlformats.org/drawingml/2006/picture">
            <wp:extent cx="5580000" cy="1793571"/>
            <wp:docPr id="37" name="Picture 37"/>
            <wp:cNvGraphicFramePr>
              <a:graphicFrameLocks noChangeAspect="1"/>
            </wp:cNvGraphicFramePr>
            <a:graphic>
              <a:graphicData uri="http://schemas.openxmlformats.org/drawingml/2006/picture">
                <pic:pic>
                  <pic:nvPicPr>
                    <pic:cNvPr id="0" name="36-风险保障.png"/>
                    <pic:cNvPicPr/>
                  </pic:nvPicPr>
                  <pic:blipFill>
                    <a:blip r:embed="rId45"/>
                    <a:stretch>
                      <a:fillRect/>
                    </a:stretch>
                  </pic:blipFill>
                  <pic:spPr>
                    <a:xfrm>
                      <a:off x="0" y="0"/>
                      <a:ext cx="5580000" cy="1793571"/>
                    </a:xfrm>
                    <a:prstGeom prst="rect"/>
                  </pic:spPr>
                </pic:pic>
              </a:graphicData>
            </a:graphic>
          </wp:inline>
        </w:drawing>
      </w:r>
    </w:p>
    <w:p>
      <w:pPr>
        <w:jc w:val="center"/>
      </w:pPr>
      <w:r>
        <w:rPr>
          <w:rFonts w:ascii="微软雅黑" w:hAnsi="微软雅黑" w:eastAsia="微软雅黑"/>
          <w:color w:val="888888"/>
          <w:sz w:val="18"/>
        </w:rPr>
        <w:t>图15-1 风险分析与保障措施</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C70019"/>
          </w:tcPr>
          <w:p>
            <w:pPr>
              <w:jc w:val="center"/>
            </w:pPr>
            <w:r/>
            <w:r>
              <w:rPr>
                <w:rFonts w:ascii="微软雅黑" w:hAnsi="微软雅黑" w:eastAsia="微软雅黑"/>
                <w:b/>
                <w:color w:val="FFFFFF"/>
                <w:sz w:val="18"/>
              </w:rPr>
              <w:t>风险类别</w:t>
            </w:r>
          </w:p>
        </w:tc>
        <w:tc>
          <w:tcPr>
            <w:tcW w:type="dxa" w:w="3024"/>
            <w:shd w:val="clear" w:color="auto" w:fill="C70019"/>
          </w:tcPr>
          <w:p>
            <w:pPr>
              <w:jc w:val="center"/>
            </w:pPr>
            <w:r/>
            <w:r>
              <w:rPr>
                <w:rFonts w:ascii="微软雅黑" w:hAnsi="微软雅黑" w:eastAsia="微软雅黑"/>
                <w:b/>
                <w:color w:val="FFFFFF"/>
                <w:sz w:val="18"/>
              </w:rPr>
              <w:t>风险描述</w:t>
            </w:r>
          </w:p>
        </w:tc>
        <w:tc>
          <w:tcPr>
            <w:tcW w:type="dxa" w:w="3024"/>
            <w:shd w:val="clear" w:color="auto" w:fill="C70019"/>
          </w:tcPr>
          <w:p>
            <w:pPr>
              <w:jc w:val="center"/>
            </w:pPr>
            <w:r/>
            <w:r>
              <w:rPr>
                <w:rFonts w:ascii="微软雅黑" w:hAnsi="微软雅黑" w:eastAsia="微软雅黑"/>
                <w:b/>
                <w:color w:val="FFFFFF"/>
                <w:sz w:val="18"/>
              </w:rPr>
              <w:t>保障措施</w:t>
            </w:r>
          </w:p>
        </w:tc>
      </w:tr>
      <w:tr>
        <w:tc>
          <w:tcPr>
            <w:tcW w:type="dxa" w:w="3024"/>
          </w:tcPr>
          <w:p>
            <w:r/>
            <w:r>
              <w:rPr>
                <w:rFonts w:ascii="微软雅黑" w:hAnsi="微软雅黑" w:eastAsia="微软雅黑"/>
                <w:sz w:val="17"/>
              </w:rPr>
              <w:t>业务系统改造风险</w:t>
            </w:r>
          </w:p>
        </w:tc>
        <w:tc>
          <w:tcPr>
            <w:tcW w:type="dxa" w:w="3024"/>
          </w:tcPr>
          <w:p>
            <w:r/>
            <w:r>
              <w:rPr>
                <w:rFonts w:ascii="微软雅黑" w:hAnsi="微软雅黑" w:eastAsia="微软雅黑"/>
                <w:sz w:val="17"/>
              </w:rPr>
              <w:t>一期9个业务系统归档功能改造依赖业务侧配合，改造周期与质量不确定</w:t>
            </w:r>
          </w:p>
        </w:tc>
        <w:tc>
          <w:tcPr>
            <w:tcW w:type="dxa" w:w="3024"/>
          </w:tcPr>
          <w:p>
            <w:r/>
            <w:r>
              <w:rPr>
                <w:rFonts w:ascii="微软雅黑" w:hAnsi="微软雅黑" w:eastAsia="微软雅黑"/>
                <w:sz w:val="17"/>
              </w:rPr>
              <w:t>以档案接收平台适配器承接，按四级接入分级推进；与业务系统牵头部门建立周例会机制；先易后难分批上线</w:t>
            </w:r>
          </w:p>
        </w:tc>
      </w:tr>
      <w:tr>
        <w:tc>
          <w:tcPr>
            <w:tcW w:type="dxa" w:w="3024"/>
            <w:shd w:val="clear" w:color="auto" w:fill="F2F1EE"/>
          </w:tcPr>
          <w:p>
            <w:r/>
            <w:r>
              <w:rPr>
                <w:rFonts w:ascii="微软雅黑" w:hAnsi="微软雅黑" w:eastAsia="微软雅黑"/>
                <w:sz w:val="17"/>
              </w:rPr>
              <w:t>接口联调风险</w:t>
            </w:r>
          </w:p>
        </w:tc>
        <w:tc>
          <w:tcPr>
            <w:tcW w:type="dxa" w:w="3024"/>
            <w:shd w:val="clear" w:color="auto" w:fill="F2F1EE"/>
          </w:tcPr>
          <w:p>
            <w:r/>
            <w:r>
              <w:rPr>
                <w:rFonts w:ascii="微软雅黑" w:hAnsi="微软雅黑" w:eastAsia="微软雅黑"/>
                <w:sz w:val="17"/>
              </w:rPr>
              <w:t>苍穹云、认证、签章等多系统接口联调复杂度高</w:t>
            </w:r>
          </w:p>
        </w:tc>
        <w:tc>
          <w:tcPr>
            <w:tcW w:type="dxa" w:w="3024"/>
            <w:shd w:val="clear" w:color="auto" w:fill="F2F1EE"/>
          </w:tcPr>
          <w:p>
            <w:r/>
            <w:r>
              <w:rPr>
                <w:rFonts w:ascii="微软雅黑" w:hAnsi="微软雅黑" w:eastAsia="微软雅黑"/>
                <w:sz w:val="17"/>
              </w:rPr>
              <w:t>制定接口规范与联调计划，档案侧提供标准检测代码包与测试用例；分阶段联调、回归验证</w:t>
            </w:r>
          </w:p>
        </w:tc>
      </w:tr>
      <w:tr>
        <w:tc>
          <w:tcPr>
            <w:tcW w:type="dxa" w:w="3024"/>
          </w:tcPr>
          <w:p>
            <w:r/>
            <w:r>
              <w:rPr>
                <w:rFonts w:ascii="微软雅黑" w:hAnsi="微软雅黑" w:eastAsia="微软雅黑"/>
                <w:sz w:val="17"/>
              </w:rPr>
              <w:t>数据迁移风险</w:t>
            </w:r>
          </w:p>
        </w:tc>
        <w:tc>
          <w:tcPr>
            <w:tcW w:type="dxa" w:w="3024"/>
          </w:tcPr>
          <w:p>
            <w:r/>
            <w:r>
              <w:rPr>
                <w:rFonts w:ascii="微软雅黑" w:hAnsi="微软雅黑" w:eastAsia="微软雅黑"/>
                <w:sz w:val="17"/>
              </w:rPr>
              <w:t>老档案系统存量条目、电子原文、关联关系迁移量大</w:t>
            </w:r>
          </w:p>
        </w:tc>
        <w:tc>
          <w:tcPr>
            <w:tcW w:type="dxa" w:w="3024"/>
          </w:tcPr>
          <w:p>
            <w:r/>
            <w:r>
              <w:rPr>
                <w:rFonts w:ascii="微软雅黑" w:hAnsi="微软雅黑" w:eastAsia="微软雅黑"/>
                <w:sz w:val="17"/>
              </w:rPr>
              <w:t>迁移工具预演、数据校验与迁移报告、双轨运行期数据比对</w:t>
            </w:r>
          </w:p>
        </w:tc>
      </w:tr>
      <w:tr>
        <w:tc>
          <w:tcPr>
            <w:tcW w:type="dxa" w:w="3024"/>
            <w:shd w:val="clear" w:color="auto" w:fill="F2F1EE"/>
          </w:tcPr>
          <w:p>
            <w:r/>
            <w:r>
              <w:rPr>
                <w:rFonts w:ascii="微软雅黑" w:hAnsi="微软雅黑" w:eastAsia="微软雅黑"/>
                <w:sz w:val="17"/>
              </w:rPr>
              <w:t>信创适配风险</w:t>
            </w:r>
          </w:p>
        </w:tc>
        <w:tc>
          <w:tcPr>
            <w:tcW w:type="dxa" w:w="3024"/>
            <w:shd w:val="clear" w:color="auto" w:fill="F2F1EE"/>
          </w:tcPr>
          <w:p>
            <w:r/>
            <w:r>
              <w:rPr>
                <w:rFonts w:ascii="微软雅黑" w:hAnsi="微软雅黑" w:eastAsia="微软雅黑"/>
                <w:sz w:val="17"/>
              </w:rPr>
              <w:t>国产化软硬件生态适配工作量与兼容性问题</w:t>
            </w:r>
          </w:p>
        </w:tc>
        <w:tc>
          <w:tcPr>
            <w:tcW w:type="dxa" w:w="3024"/>
            <w:shd w:val="clear" w:color="auto" w:fill="F2F1EE"/>
          </w:tcPr>
          <w:p>
            <w:r/>
            <w:r>
              <w:rPr>
                <w:rFonts w:ascii="微软雅黑" w:hAnsi="微软雅黑" w:eastAsia="微软雅黑"/>
                <w:sz w:val="17"/>
              </w:rPr>
              <w:t>提前开展信创适配验证（操作系统/数据库/中间件/浏览器），按组件逐项适配测试</w:t>
            </w:r>
          </w:p>
        </w:tc>
      </w:tr>
      <w:tr>
        <w:tc>
          <w:tcPr>
            <w:tcW w:type="dxa" w:w="3024"/>
          </w:tcPr>
          <w:p>
            <w:r/>
            <w:r>
              <w:rPr>
                <w:rFonts w:ascii="微软雅黑" w:hAnsi="微软雅黑" w:eastAsia="微软雅黑"/>
                <w:sz w:val="17"/>
              </w:rPr>
              <w:t>长期保存风险</w:t>
            </w:r>
          </w:p>
        </w:tc>
        <w:tc>
          <w:tcPr>
            <w:tcW w:type="dxa" w:w="3024"/>
          </w:tcPr>
          <w:p>
            <w:r/>
            <w:r>
              <w:rPr>
                <w:rFonts w:ascii="微软雅黑" w:hAnsi="微软雅黑" w:eastAsia="微软雅黑"/>
                <w:sz w:val="17"/>
              </w:rPr>
              <w:t>数据长期可读、介质老化、格式淘汰</w:t>
            </w:r>
          </w:p>
        </w:tc>
        <w:tc>
          <w:tcPr>
            <w:tcW w:type="dxa" w:w="3024"/>
          </w:tcPr>
          <w:p>
            <w:r/>
            <w:r>
              <w:rPr>
                <w:rFonts w:ascii="微软雅黑" w:hAnsi="微软雅黑" w:eastAsia="微软雅黑"/>
                <w:sz w:val="17"/>
              </w:rPr>
              <w:t>磁光电混合存储＋定期检测与一致性校验＋格式转换＋异地异质备份</w:t>
            </w:r>
          </w:p>
        </w:tc>
      </w:tr>
      <w:tr>
        <w:tc>
          <w:tcPr>
            <w:tcW w:type="dxa" w:w="3024"/>
            <w:shd w:val="clear" w:color="auto" w:fill="F2F1EE"/>
          </w:tcPr>
          <w:p>
            <w:r/>
            <w:r>
              <w:rPr>
                <w:rFonts w:ascii="微软雅黑" w:hAnsi="微软雅黑" w:eastAsia="微软雅黑"/>
                <w:sz w:val="17"/>
              </w:rPr>
              <w:t>安全合规风险</w:t>
            </w:r>
          </w:p>
        </w:tc>
        <w:tc>
          <w:tcPr>
            <w:tcW w:type="dxa" w:w="3024"/>
            <w:shd w:val="clear" w:color="auto" w:fill="F2F1EE"/>
          </w:tcPr>
          <w:p>
            <w:r/>
            <w:r>
              <w:rPr>
                <w:rFonts w:ascii="微软雅黑" w:hAnsi="微软雅黑" w:eastAsia="微软雅黑"/>
                <w:sz w:val="17"/>
              </w:rPr>
              <w:t>等保二级、涉密分级保护、水印防扩散要求高</w:t>
            </w:r>
          </w:p>
        </w:tc>
        <w:tc>
          <w:tcPr>
            <w:tcW w:type="dxa" w:w="3024"/>
            <w:shd w:val="clear" w:color="auto" w:fill="F2F1EE"/>
          </w:tcPr>
          <w:p>
            <w:r/>
            <w:r>
              <w:rPr>
                <w:rFonts w:ascii="微软雅黑" w:hAnsi="微软雅黑" w:eastAsia="微软雅黑"/>
                <w:sz w:val="17"/>
              </w:rPr>
              <w:t>三员分立、三级权限、水印审计、传输加密、安全测评整改</w:t>
            </w:r>
          </w:p>
        </w:tc>
      </w:tr>
      <w:tr>
        <w:tc>
          <w:tcPr>
            <w:tcW w:type="dxa" w:w="3024"/>
          </w:tcPr>
          <w:p>
            <w:r/>
            <w:r>
              <w:rPr>
                <w:rFonts w:ascii="微软雅黑" w:hAnsi="微软雅黑" w:eastAsia="微软雅黑"/>
                <w:sz w:val="17"/>
              </w:rPr>
              <w:t>实施进度风险</w:t>
            </w:r>
          </w:p>
        </w:tc>
        <w:tc>
          <w:tcPr>
            <w:tcW w:type="dxa" w:w="3024"/>
          </w:tcPr>
          <w:p>
            <w:r/>
            <w:r>
              <w:rPr>
                <w:rFonts w:ascii="微软雅黑" w:hAnsi="微软雅黑" w:eastAsia="微软雅黑"/>
                <w:sz w:val="17"/>
              </w:rPr>
              <w:t>一期工期紧、功能点多</w:t>
            </w:r>
          </w:p>
        </w:tc>
        <w:tc>
          <w:tcPr>
            <w:tcW w:type="dxa" w:w="3024"/>
          </w:tcPr>
          <w:p>
            <w:r/>
            <w:r>
              <w:rPr>
                <w:rFonts w:ascii="微软雅黑" w:hAnsi="微软雅黑" w:eastAsia="微软雅黑"/>
                <w:sz w:val="17"/>
              </w:rPr>
              <w:t>以成熟产品平台为基础，按"实施为主、优化适配、开发为辅"控制工作量；关键路径里程碑管理</w:t>
            </w:r>
          </w:p>
        </w:tc>
      </w:tr>
      <w:tr>
        <w:tc>
          <w:tcPr>
            <w:tcW w:type="dxa" w:w="3024"/>
            <w:shd w:val="clear" w:color="auto" w:fill="F2F1EE"/>
          </w:tcPr>
          <w:p>
            <w:r/>
            <w:r>
              <w:rPr>
                <w:rFonts w:ascii="微软雅黑" w:hAnsi="微软雅黑" w:eastAsia="微软雅黑"/>
                <w:sz w:val="17"/>
              </w:rPr>
              <w:t>AI应用风险</w:t>
            </w:r>
          </w:p>
        </w:tc>
        <w:tc>
          <w:tcPr>
            <w:tcW w:type="dxa" w:w="3024"/>
            <w:shd w:val="clear" w:color="auto" w:fill="F2F1EE"/>
          </w:tcPr>
          <w:p>
            <w:r/>
            <w:r>
              <w:rPr>
                <w:rFonts w:ascii="微软雅黑" w:hAnsi="微软雅黑" w:eastAsia="微软雅黑"/>
                <w:sz w:val="17"/>
              </w:rPr>
              <w:t>三期AI识别准确率、模型训练依赖数据质量</w:t>
            </w:r>
          </w:p>
        </w:tc>
        <w:tc>
          <w:tcPr>
            <w:tcW w:type="dxa" w:w="3024"/>
            <w:shd w:val="clear" w:color="auto" w:fill="F2F1EE"/>
          </w:tcPr>
          <w:p>
            <w:r/>
            <w:r>
              <w:rPr>
                <w:rFonts w:ascii="微软雅黑" w:hAnsi="微软雅黑" w:eastAsia="微软雅黑"/>
                <w:sz w:val="17"/>
              </w:rPr>
              <w:t>先试点后推广，样本标注与效果验证，人工确认闭环兜底</w:t>
            </w:r>
          </w:p>
        </w:tc>
      </w:tr>
    </w:tbl>
    <w:p/>
    <w:p>
      <w:pPr>
        <w:pBdr>
          <w:bottom w:val="single" w:sz="8" w:color="C70019"/>
        </w:pBdr>
      </w:pPr>
      <w:r>
        <w:rPr>
          <w:rFonts w:ascii="微软雅黑" w:hAnsi="微软雅黑" w:eastAsia="微软雅黑"/>
          <w:b/>
          <w:color w:val="C70019"/>
          <w:sz w:val="32"/>
        </w:rPr>
        <w:t>附录：术语缩略语</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C70019"/>
          </w:tcPr>
          <w:p>
            <w:pPr>
              <w:jc w:val="center"/>
            </w:pPr>
            <w:r/>
            <w:r>
              <w:rPr>
                <w:rFonts w:ascii="微软雅黑" w:hAnsi="微软雅黑" w:eastAsia="微软雅黑"/>
                <w:b/>
                <w:color w:val="FFFFFF"/>
                <w:sz w:val="18"/>
              </w:rPr>
              <w:t>缩略语</w:t>
            </w:r>
          </w:p>
        </w:tc>
        <w:tc>
          <w:tcPr>
            <w:tcW w:type="dxa" w:w="4536"/>
            <w:shd w:val="clear" w:color="auto" w:fill="C70019"/>
          </w:tcPr>
          <w:p>
            <w:pPr>
              <w:jc w:val="center"/>
            </w:pPr>
            <w:r/>
            <w:r>
              <w:rPr>
                <w:rFonts w:ascii="微软雅黑" w:hAnsi="微软雅黑" w:eastAsia="微软雅黑"/>
                <w:b/>
                <w:color w:val="FFFFFF"/>
                <w:sz w:val="18"/>
              </w:rPr>
              <w:t>全称/说明</w:t>
            </w:r>
          </w:p>
        </w:tc>
      </w:tr>
      <w:tr>
        <w:tc>
          <w:tcPr>
            <w:tcW w:type="dxa" w:w="4536"/>
          </w:tcPr>
          <w:p>
            <w:r/>
            <w:r>
              <w:rPr>
                <w:rFonts w:ascii="微软雅黑" w:hAnsi="微软雅黑" w:eastAsia="微软雅黑"/>
                <w:sz w:val="17"/>
              </w:rPr>
              <w:t>AIP</w:t>
            </w:r>
          </w:p>
        </w:tc>
        <w:tc>
          <w:tcPr>
            <w:tcW w:type="dxa" w:w="4536"/>
          </w:tcPr>
          <w:p>
            <w:r/>
            <w:r>
              <w:rPr>
                <w:rFonts w:ascii="微软雅黑" w:hAnsi="微软雅黑" w:eastAsia="微软雅黑"/>
                <w:sz w:val="17"/>
              </w:rPr>
              <w:t>Archival Information Package，归档信息包（DA/T 48-2009）</w:t>
            </w:r>
          </w:p>
        </w:tc>
      </w:tr>
      <w:tr>
        <w:tc>
          <w:tcPr>
            <w:tcW w:type="dxa" w:w="4536"/>
            <w:shd w:val="clear" w:color="auto" w:fill="F2F1EE"/>
          </w:tcPr>
          <w:p>
            <w:r/>
            <w:r>
              <w:rPr>
                <w:rFonts w:ascii="微软雅黑" w:hAnsi="微软雅黑" w:eastAsia="微软雅黑"/>
                <w:sz w:val="17"/>
              </w:rPr>
              <w:t>BOM/BOE</w:t>
            </w:r>
          </w:p>
        </w:tc>
        <w:tc>
          <w:tcPr>
            <w:tcW w:type="dxa" w:w="4536"/>
            <w:shd w:val="clear" w:color="auto" w:fill="F2F1EE"/>
          </w:tcPr>
          <w:p>
            <w:r/>
            <w:r>
              <w:rPr>
                <w:rFonts w:ascii="微软雅黑" w:hAnsi="微软雅黑" w:eastAsia="微软雅黑"/>
                <w:sz w:val="17"/>
              </w:rPr>
              <w:t>物料清单/设备清单</w:t>
            </w:r>
          </w:p>
        </w:tc>
      </w:tr>
      <w:tr>
        <w:tc>
          <w:tcPr>
            <w:tcW w:type="dxa" w:w="4536"/>
          </w:tcPr>
          <w:p>
            <w:r/>
            <w:r>
              <w:rPr>
                <w:rFonts w:ascii="微软雅黑" w:hAnsi="微软雅黑" w:eastAsia="微软雅黑"/>
                <w:sz w:val="17"/>
              </w:rPr>
              <w:t>OA</w:t>
            </w:r>
          </w:p>
        </w:tc>
        <w:tc>
          <w:tcPr>
            <w:tcW w:type="dxa" w:w="4536"/>
          </w:tcPr>
          <w:p>
            <w:r/>
            <w:r>
              <w:rPr>
                <w:rFonts w:ascii="微软雅黑" w:hAnsi="微软雅黑" w:eastAsia="微软雅黑"/>
                <w:sz w:val="17"/>
              </w:rPr>
              <w:t>办公自动化（中车公文处理系统）</w:t>
            </w:r>
          </w:p>
        </w:tc>
      </w:tr>
      <w:tr>
        <w:tc>
          <w:tcPr>
            <w:tcW w:type="dxa" w:w="4536"/>
            <w:shd w:val="clear" w:color="auto" w:fill="F2F1EE"/>
          </w:tcPr>
          <w:p>
            <w:r/>
            <w:r>
              <w:rPr>
                <w:rFonts w:ascii="微软雅黑" w:hAnsi="微软雅黑" w:eastAsia="微软雅黑"/>
                <w:sz w:val="17"/>
              </w:rPr>
              <w:t>OCR</w:t>
            </w:r>
          </w:p>
        </w:tc>
        <w:tc>
          <w:tcPr>
            <w:tcW w:type="dxa" w:w="4536"/>
            <w:shd w:val="clear" w:color="auto" w:fill="F2F1EE"/>
          </w:tcPr>
          <w:p>
            <w:r/>
            <w:r>
              <w:rPr>
                <w:rFonts w:ascii="微软雅黑" w:hAnsi="微软雅黑" w:eastAsia="微软雅黑"/>
                <w:sz w:val="17"/>
              </w:rPr>
              <w:t>光学字符识别</w:t>
            </w:r>
          </w:p>
        </w:tc>
      </w:tr>
      <w:tr>
        <w:tc>
          <w:tcPr>
            <w:tcW w:type="dxa" w:w="4536"/>
          </w:tcPr>
          <w:p>
            <w:r/>
            <w:r>
              <w:rPr>
                <w:rFonts w:ascii="微软雅黑" w:hAnsi="微软雅黑" w:eastAsia="微软雅黑"/>
                <w:sz w:val="17"/>
              </w:rPr>
              <w:t>RAG</w:t>
            </w:r>
          </w:p>
        </w:tc>
        <w:tc>
          <w:tcPr>
            <w:tcW w:type="dxa" w:w="4536"/>
          </w:tcPr>
          <w:p>
            <w:r/>
            <w:r>
              <w:rPr>
                <w:rFonts w:ascii="微软雅黑" w:hAnsi="微软雅黑" w:eastAsia="微软雅黑"/>
                <w:sz w:val="17"/>
              </w:rPr>
              <w:t>Retrieval-Augmented Generation，检索增强生成</w:t>
            </w:r>
          </w:p>
        </w:tc>
      </w:tr>
      <w:tr>
        <w:tc>
          <w:tcPr>
            <w:tcW w:type="dxa" w:w="4536"/>
            <w:shd w:val="clear" w:color="auto" w:fill="F2F1EE"/>
          </w:tcPr>
          <w:p>
            <w:r/>
            <w:r>
              <w:rPr>
                <w:rFonts w:ascii="微软雅黑" w:hAnsi="微软雅黑" w:eastAsia="微软雅黑"/>
                <w:sz w:val="17"/>
              </w:rPr>
              <w:t>SSO</w:t>
            </w:r>
          </w:p>
        </w:tc>
        <w:tc>
          <w:tcPr>
            <w:tcW w:type="dxa" w:w="4536"/>
            <w:shd w:val="clear" w:color="auto" w:fill="F2F1EE"/>
          </w:tcPr>
          <w:p>
            <w:r/>
            <w:r>
              <w:rPr>
                <w:rFonts w:ascii="微软雅黑" w:hAnsi="微软雅黑" w:eastAsia="微软雅黑"/>
                <w:sz w:val="17"/>
              </w:rPr>
              <w:t>Single Sign-On，单点登录</w:t>
            </w:r>
          </w:p>
        </w:tc>
      </w:tr>
      <w:tr>
        <w:tc>
          <w:tcPr>
            <w:tcW w:type="dxa" w:w="4536"/>
          </w:tcPr>
          <w:p>
            <w:r/>
            <w:r>
              <w:rPr>
                <w:rFonts w:ascii="微软雅黑" w:hAnsi="微软雅黑" w:eastAsia="微软雅黑"/>
                <w:sz w:val="17"/>
              </w:rPr>
              <w:t>TDM</w:t>
            </w:r>
          </w:p>
        </w:tc>
        <w:tc>
          <w:tcPr>
            <w:tcW w:type="dxa" w:w="4536"/>
          </w:tcPr>
          <w:p>
            <w:r/>
            <w:r>
              <w:rPr>
                <w:rFonts w:ascii="微软雅黑" w:hAnsi="微软雅黑" w:eastAsia="微软雅黑"/>
                <w:sz w:val="17"/>
              </w:rPr>
              <w:t>试验数据管理系统</w:t>
            </w:r>
          </w:p>
        </w:tc>
      </w:tr>
      <w:tr>
        <w:tc>
          <w:tcPr>
            <w:tcW w:type="dxa" w:w="4536"/>
            <w:shd w:val="clear" w:color="auto" w:fill="F2F1EE"/>
          </w:tcPr>
          <w:p>
            <w:r/>
            <w:r>
              <w:rPr>
                <w:rFonts w:ascii="微软雅黑" w:hAnsi="微软雅黑" w:eastAsia="微软雅黑"/>
                <w:sz w:val="17"/>
              </w:rPr>
              <w:t>TC</w:t>
            </w:r>
          </w:p>
        </w:tc>
        <w:tc>
          <w:tcPr>
            <w:tcW w:type="dxa" w:w="4536"/>
            <w:shd w:val="clear" w:color="auto" w:fill="F2F1EE"/>
          </w:tcPr>
          <w:p>
            <w:r/>
            <w:r>
              <w:rPr>
                <w:rFonts w:ascii="微软雅黑" w:hAnsi="微软雅黑" w:eastAsia="微软雅黑"/>
                <w:sz w:val="17"/>
              </w:rPr>
              <w:t>TeamCenter 产品全生命周期管理</w:t>
            </w:r>
          </w:p>
        </w:tc>
      </w:tr>
      <w:tr>
        <w:tc>
          <w:tcPr>
            <w:tcW w:type="dxa" w:w="4536"/>
          </w:tcPr>
          <w:p>
            <w:r/>
            <w:r>
              <w:rPr>
                <w:rFonts w:ascii="微软雅黑" w:hAnsi="微软雅黑" w:eastAsia="微软雅黑"/>
                <w:sz w:val="17"/>
              </w:rPr>
              <w:t>LIMS</w:t>
            </w:r>
          </w:p>
        </w:tc>
        <w:tc>
          <w:tcPr>
            <w:tcW w:type="dxa" w:w="4536"/>
          </w:tcPr>
          <w:p>
            <w:r/>
            <w:r>
              <w:rPr>
                <w:rFonts w:ascii="微软雅黑" w:hAnsi="微软雅黑" w:eastAsia="微软雅黑"/>
                <w:sz w:val="17"/>
              </w:rPr>
              <w:t>实验室信息管理系统（计量理化系统）</w:t>
            </w:r>
          </w:p>
        </w:tc>
      </w:tr>
      <w:tr>
        <w:tc>
          <w:tcPr>
            <w:tcW w:type="dxa" w:w="4536"/>
            <w:shd w:val="clear" w:color="auto" w:fill="F2F1EE"/>
          </w:tcPr>
          <w:p>
            <w:r/>
            <w:r>
              <w:rPr>
                <w:rFonts w:ascii="微软雅黑" w:hAnsi="微软雅黑" w:eastAsia="微软雅黑"/>
                <w:sz w:val="17"/>
              </w:rPr>
              <w:t>EAS</w:t>
            </w:r>
          </w:p>
        </w:tc>
        <w:tc>
          <w:tcPr>
            <w:tcW w:type="dxa" w:w="4536"/>
            <w:shd w:val="clear" w:color="auto" w:fill="F2F1EE"/>
          </w:tcPr>
          <w:p>
            <w:r/>
            <w:r>
              <w:rPr>
                <w:rFonts w:ascii="微软雅黑" w:hAnsi="微软雅黑" w:eastAsia="微软雅黑"/>
                <w:sz w:val="17"/>
              </w:rPr>
              <w:t>企业应用套件（用友/金蝶财务核算系统）</w:t>
            </w:r>
          </w:p>
        </w:tc>
      </w:tr>
    </w:tbl>
    <w:p/>
    <w:p>
      <w:r>
        <w:rPr>
          <w:rFonts w:ascii="微软雅黑" w:hAnsi="微软雅黑" w:eastAsia="微软雅黑"/>
          <w:b w:val="0"/>
          <w:sz w:val="21"/>
        </w:rPr>
      </w:r>
    </w:p>
    <w:p>
      <w:r>
        <w:rPr>
          <w:rFonts w:ascii="微软雅黑" w:hAnsi="微软雅黑" w:eastAsia="微软雅黑"/>
          <w:b/>
          <w:color w:val="DA9252"/>
          <w:sz w:val="21"/>
        </w:rPr>
        <w:t>（本文档 V2.0 为重建版，以《档案系统建设报价单（v6.0）》功能分解为功能底座，内容与建设单位既有资料严格对齐，不含任何虚构内容。）</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