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rFonts w:ascii="黑体" w:hAnsi="黑体" w:eastAsia="黑体" w:cs="黑体"/>
          <w:sz w:val="32"/>
          <w:szCs w:val="32"/>
        </w:rPr>
      </w:pPr>
      <w:r>
        <w:rPr>
          <w:rFonts w:hint="eastAsia" w:ascii="黑体" w:hAnsi="黑体" w:eastAsia="黑体" w:cs="黑体"/>
          <w:sz w:val="32"/>
          <w:szCs w:val="32"/>
        </w:rPr>
        <w:t>附录</w:t>
      </w:r>
    </w:p>
    <w:p>
      <w:pPr>
        <w:spacing w:line="600" w:lineRule="exact"/>
        <w:jc w:val="center"/>
        <w:rPr>
          <w:rFonts w:ascii="宋体" w:hAnsi="宋体"/>
          <w:sz w:val="44"/>
          <w:szCs w:val="44"/>
        </w:rPr>
      </w:pPr>
      <w:r>
        <w:rPr>
          <w:rFonts w:hint="eastAsia" w:ascii="方正小标宋简体" w:hAnsi="方正小标宋简体" w:eastAsia="方正小标宋简体" w:cs="方正小标宋简体"/>
          <w:sz w:val="44"/>
          <w:szCs w:val="44"/>
        </w:rPr>
        <w:t>内容要求、教学提示及跨学科主题学习示例</w:t>
      </w:r>
    </w:p>
    <w:p>
      <w:pPr>
        <w:spacing w:line="600" w:lineRule="exact"/>
        <w:jc w:val="center"/>
        <w:rPr>
          <w:rFonts w:ascii="宋体" w:hAnsi="宋体"/>
          <w:sz w:val="44"/>
          <w:szCs w:val="44"/>
        </w:rPr>
      </w:pPr>
    </w:p>
    <w:tbl>
      <w:tblPr>
        <w:tblStyle w:val="9"/>
        <w:tblW w:w="15091" w:type="dxa"/>
        <w:tblInd w:w="-3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45"/>
        <w:gridCol w:w="4582"/>
        <w:gridCol w:w="7727"/>
        <w:gridCol w:w="1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400" w:hRule="atLeast"/>
        </w:trPr>
        <w:tc>
          <w:tcPr>
            <w:tcW w:w="945" w:type="dxa"/>
            <w:vMerge w:val="restart"/>
            <w:tcBorders>
              <w:top w:val="single" w:color="auto" w:sz="4" w:space="0"/>
              <w:left w:val="single" w:color="auto" w:sz="4" w:space="0"/>
              <w:bottom w:val="single" w:color="auto" w:sz="4" w:space="0"/>
              <w:right w:val="single" w:color="auto" w:sz="4" w:space="0"/>
            </w:tcBorders>
            <w:shd w:val="clear" w:color="auto" w:fill="D9D9D9"/>
            <w:vAlign w:val="center"/>
          </w:tcPr>
          <w:p>
            <w:pPr>
              <w:jc w:val="center"/>
              <w:rPr>
                <w:rFonts w:eastAsia="仿宋_GB2312"/>
                <w:b/>
                <w:bCs/>
                <w:szCs w:val="21"/>
              </w:rPr>
            </w:pPr>
            <w:r>
              <w:rPr>
                <w:rFonts w:eastAsia="仿宋_GB2312"/>
                <w:b/>
                <w:bCs/>
                <w:szCs w:val="21"/>
              </w:rPr>
              <w:t>年级</w:t>
            </w:r>
          </w:p>
        </w:tc>
        <w:tc>
          <w:tcPr>
            <w:tcW w:w="4582" w:type="dxa"/>
            <w:vMerge w:val="restart"/>
            <w:tcBorders>
              <w:top w:val="single" w:color="auto" w:sz="4" w:space="0"/>
              <w:left w:val="single" w:color="auto" w:sz="4" w:space="0"/>
              <w:bottom w:val="single" w:color="auto" w:sz="4" w:space="0"/>
              <w:right w:val="single" w:color="auto" w:sz="4" w:space="0"/>
            </w:tcBorders>
            <w:shd w:val="clear" w:color="auto" w:fill="D9D9D9"/>
            <w:vAlign w:val="center"/>
          </w:tcPr>
          <w:p>
            <w:pPr>
              <w:jc w:val="center"/>
              <w:rPr>
                <w:rFonts w:eastAsia="仿宋_GB2312"/>
                <w:b/>
                <w:bCs/>
                <w:szCs w:val="21"/>
              </w:rPr>
            </w:pPr>
            <w:r>
              <w:rPr>
                <w:rFonts w:eastAsia="仿宋_GB2312"/>
                <w:b/>
                <w:bCs/>
                <w:szCs w:val="21"/>
              </w:rPr>
              <w:t>内容要求</w:t>
            </w:r>
          </w:p>
        </w:tc>
        <w:tc>
          <w:tcPr>
            <w:tcW w:w="7727" w:type="dxa"/>
            <w:vMerge w:val="restart"/>
            <w:tcBorders>
              <w:top w:val="single" w:color="auto" w:sz="4" w:space="0"/>
              <w:left w:val="single" w:color="auto" w:sz="4" w:space="0"/>
              <w:bottom w:val="single" w:color="auto" w:sz="4" w:space="0"/>
              <w:right w:val="single" w:color="auto" w:sz="4" w:space="0"/>
            </w:tcBorders>
            <w:shd w:val="clear" w:color="auto" w:fill="D9D9D9"/>
            <w:vAlign w:val="center"/>
          </w:tcPr>
          <w:p>
            <w:pPr>
              <w:jc w:val="center"/>
              <w:rPr>
                <w:rFonts w:eastAsia="仿宋_GB2312"/>
                <w:b/>
                <w:bCs/>
                <w:szCs w:val="21"/>
              </w:rPr>
            </w:pPr>
            <w:r>
              <w:rPr>
                <w:rFonts w:eastAsia="仿宋_GB2312"/>
                <w:b/>
                <w:bCs/>
                <w:szCs w:val="21"/>
              </w:rPr>
              <w:t>教学提示</w:t>
            </w:r>
          </w:p>
        </w:tc>
        <w:tc>
          <w:tcPr>
            <w:tcW w:w="1837" w:type="dxa"/>
            <w:vMerge w:val="restart"/>
            <w:tcBorders>
              <w:top w:val="single" w:color="auto" w:sz="4" w:space="0"/>
              <w:left w:val="single" w:color="auto" w:sz="4" w:space="0"/>
              <w:bottom w:val="single" w:color="auto" w:sz="4" w:space="0"/>
              <w:right w:val="single" w:color="auto" w:sz="4" w:space="0"/>
            </w:tcBorders>
            <w:shd w:val="clear" w:color="auto" w:fill="D9D9D9"/>
            <w:vAlign w:val="center"/>
          </w:tcPr>
          <w:p>
            <w:pPr>
              <w:jc w:val="center"/>
              <w:rPr>
                <w:rFonts w:eastAsia="仿宋_GB2312"/>
                <w:b/>
                <w:bCs/>
                <w:szCs w:val="21"/>
              </w:rPr>
            </w:pPr>
            <w:r>
              <w:rPr>
                <w:rFonts w:eastAsia="仿宋_GB2312"/>
                <w:b/>
                <w:bCs/>
                <w:szCs w:val="21"/>
              </w:rPr>
              <w:t>跨学科</w:t>
            </w:r>
            <w:r>
              <w:rPr>
                <w:rFonts w:hint="eastAsia" w:eastAsia="仿宋_GB2312"/>
                <w:b/>
                <w:bCs/>
                <w:szCs w:val="21"/>
              </w:rPr>
              <w:t>主题</w:t>
            </w:r>
            <w:r>
              <w:rPr>
                <w:rFonts w:eastAsia="仿宋_GB2312"/>
                <w:b/>
                <w:bCs/>
                <w:szCs w:val="21"/>
              </w:rPr>
              <w:t>学习</w:t>
            </w:r>
          </w:p>
          <w:p>
            <w:pPr>
              <w:jc w:val="center"/>
              <w:rPr>
                <w:rFonts w:eastAsia="仿宋_GB2312"/>
                <w:b/>
                <w:bCs/>
                <w:szCs w:val="21"/>
              </w:rPr>
            </w:pPr>
            <w:r>
              <w:rPr>
                <w:rFonts w:eastAsia="仿宋_GB2312"/>
                <w:b/>
                <w:bCs/>
                <w:szCs w:val="21"/>
              </w:rPr>
              <w:t>（示例）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312" w:hRule="atLeast"/>
        </w:trPr>
        <w:tc>
          <w:tcPr>
            <w:tcW w:w="945" w:type="dxa"/>
            <w:vMerge w:val="continue"/>
            <w:tcBorders>
              <w:top w:val="single" w:color="auto" w:sz="4" w:space="0"/>
              <w:left w:val="single" w:color="auto" w:sz="4" w:space="0"/>
              <w:bottom w:val="single" w:color="auto" w:sz="4" w:space="0"/>
              <w:right w:val="single" w:color="auto" w:sz="4" w:space="0"/>
            </w:tcBorders>
            <w:vAlign w:val="center"/>
          </w:tcPr>
          <w:p>
            <w:pPr>
              <w:rPr>
                <w:rFonts w:eastAsia="仿宋_GB2312"/>
                <w:b/>
                <w:bCs/>
                <w:szCs w:val="21"/>
              </w:rPr>
            </w:pPr>
          </w:p>
        </w:tc>
        <w:tc>
          <w:tcPr>
            <w:tcW w:w="4582" w:type="dxa"/>
            <w:vMerge w:val="continue"/>
            <w:tcBorders>
              <w:top w:val="single" w:color="auto" w:sz="4" w:space="0"/>
              <w:left w:val="single" w:color="auto" w:sz="4" w:space="0"/>
              <w:bottom w:val="single" w:color="auto" w:sz="4" w:space="0"/>
              <w:right w:val="single" w:color="auto" w:sz="4" w:space="0"/>
            </w:tcBorders>
            <w:vAlign w:val="center"/>
          </w:tcPr>
          <w:p>
            <w:pPr>
              <w:rPr>
                <w:rFonts w:eastAsia="仿宋_GB2312"/>
                <w:b/>
                <w:bCs/>
                <w:szCs w:val="21"/>
              </w:rPr>
            </w:pPr>
          </w:p>
        </w:tc>
        <w:tc>
          <w:tcPr>
            <w:tcW w:w="7727" w:type="dxa"/>
            <w:vMerge w:val="continue"/>
            <w:tcBorders>
              <w:top w:val="single" w:color="auto" w:sz="4" w:space="0"/>
              <w:left w:val="single" w:color="auto" w:sz="4" w:space="0"/>
              <w:bottom w:val="single" w:color="auto" w:sz="4" w:space="0"/>
              <w:right w:val="single" w:color="auto" w:sz="4" w:space="0"/>
            </w:tcBorders>
            <w:vAlign w:val="center"/>
          </w:tcPr>
          <w:p>
            <w:pPr>
              <w:rPr>
                <w:rFonts w:eastAsia="仿宋_GB2312"/>
                <w:b/>
                <w:bCs/>
                <w:szCs w:val="21"/>
              </w:rPr>
            </w:pPr>
          </w:p>
        </w:tc>
        <w:tc>
          <w:tcPr>
            <w:tcW w:w="1837" w:type="dxa"/>
            <w:vMerge w:val="continue"/>
            <w:tcBorders>
              <w:top w:val="single" w:color="auto" w:sz="4" w:space="0"/>
              <w:left w:val="single" w:color="auto" w:sz="4" w:space="0"/>
              <w:bottom w:val="single" w:color="auto" w:sz="4" w:space="0"/>
              <w:right w:val="single" w:color="auto" w:sz="4" w:space="0"/>
            </w:tcBorders>
            <w:vAlign w:val="center"/>
          </w:tcPr>
          <w:p>
            <w:pPr>
              <w:rPr>
                <w:rFonts w:eastAsia="仿宋_GB2312"/>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3112" w:hRule="atLeast"/>
        </w:trPr>
        <w:tc>
          <w:tcPr>
            <w:tcW w:w="945" w:type="dxa"/>
            <w:tcBorders>
              <w:top w:val="single" w:color="auto" w:sz="4" w:space="0"/>
              <w:left w:val="single" w:color="auto" w:sz="4" w:space="0"/>
              <w:bottom w:val="single" w:color="auto" w:sz="4" w:space="0"/>
              <w:right w:val="single" w:color="auto" w:sz="4" w:space="0"/>
            </w:tcBorders>
            <w:vAlign w:val="center"/>
          </w:tcPr>
          <w:p>
            <w:pPr>
              <w:pStyle w:val="6"/>
              <w:spacing w:before="0" w:beforeAutospacing="0" w:after="0" w:afterAutospacing="0"/>
              <w:rPr>
                <w:rFonts w:eastAsia="仿宋_GB2312"/>
                <w:b/>
                <w:bCs/>
                <w:sz w:val="21"/>
                <w:szCs w:val="21"/>
              </w:rPr>
            </w:pPr>
            <w:r>
              <w:rPr>
                <w:rFonts w:eastAsia="仿宋_GB2312"/>
                <w:b/>
                <w:bCs/>
                <w:sz w:val="21"/>
                <w:szCs w:val="21"/>
              </w:rPr>
              <w:t>七年级</w:t>
            </w:r>
          </w:p>
        </w:tc>
        <w:tc>
          <w:tcPr>
            <w:tcW w:w="4582" w:type="dxa"/>
            <w:tcBorders>
              <w:top w:val="single" w:color="auto" w:sz="4" w:space="0"/>
              <w:left w:val="single" w:color="auto" w:sz="4" w:space="0"/>
              <w:bottom w:val="single" w:color="auto" w:sz="4" w:space="0"/>
              <w:right w:val="single" w:color="auto" w:sz="4" w:space="0"/>
            </w:tcBorders>
            <w:vAlign w:val="center"/>
          </w:tcPr>
          <w:p>
            <w:pPr>
              <w:rPr>
                <w:rFonts w:eastAsia="仿宋_GB2312"/>
                <w:szCs w:val="21"/>
              </w:rPr>
            </w:pPr>
            <w:r>
              <w:rPr>
                <w:rFonts w:hint="eastAsia" w:eastAsia="仿宋_GB2312"/>
                <w:szCs w:val="21"/>
              </w:rPr>
              <w:t>（</w:t>
            </w:r>
            <w:r>
              <w:rPr>
                <w:rFonts w:eastAsia="仿宋_GB2312"/>
                <w:szCs w:val="21"/>
              </w:rPr>
              <w:t>1</w:t>
            </w:r>
            <w:r>
              <w:rPr>
                <w:rFonts w:hint="eastAsia" w:eastAsia="仿宋_GB2312"/>
                <w:szCs w:val="21"/>
              </w:rPr>
              <w:t>）体验人工智能赋能“互联网应用”的创新升级，了解我国近年的创新进展与成就。</w:t>
            </w:r>
          </w:p>
          <w:p>
            <w:pPr>
              <w:rPr>
                <w:rFonts w:eastAsia="仿宋_GB2312"/>
                <w:szCs w:val="21"/>
              </w:rPr>
            </w:pPr>
            <w:r>
              <w:rPr>
                <w:rFonts w:hint="eastAsia" w:eastAsia="仿宋_GB2312"/>
                <w:szCs w:val="21"/>
              </w:rPr>
              <w:t>（</w:t>
            </w:r>
            <w:r>
              <w:rPr>
                <w:rFonts w:eastAsia="仿宋_GB2312"/>
                <w:szCs w:val="21"/>
              </w:rPr>
              <w:t>2</w:t>
            </w:r>
            <w:r>
              <w:rPr>
                <w:rFonts w:hint="eastAsia" w:eastAsia="仿宋_GB2312"/>
                <w:szCs w:val="21"/>
              </w:rPr>
              <w:t>）通过智能应用案例，体验人工智能利用有标注的数据进行机器学习的过程，初步了解人工智能算法通过交互、试错，反复改进的机器学习过程。</w:t>
            </w:r>
          </w:p>
          <w:p>
            <w:pPr>
              <w:rPr>
                <w:rFonts w:eastAsia="仿宋_GB2312"/>
                <w:szCs w:val="21"/>
              </w:rPr>
            </w:pPr>
            <w:r>
              <w:rPr>
                <w:rFonts w:hint="eastAsia" w:eastAsia="仿宋_GB2312"/>
                <w:szCs w:val="21"/>
              </w:rPr>
              <w:t>（3）借助人工智能工具和平台与他人协作开展创意设计，助力中华优秀传统文化传播。</w:t>
            </w:r>
          </w:p>
          <w:p>
            <w:pPr>
              <w:rPr>
                <w:rFonts w:eastAsia="仿宋_GB2312"/>
                <w:szCs w:val="21"/>
              </w:rPr>
            </w:pPr>
            <w:r>
              <w:rPr>
                <w:rFonts w:hint="eastAsia" w:eastAsia="仿宋_GB2312"/>
                <w:szCs w:val="21"/>
              </w:rPr>
              <w:t>（4）经历人工智能赋能创新的问题发现、方案对比、系统实践、评估与优化等基本过程，设计人机协同解决方案，探索超越时空约束的人机协同模式。</w:t>
            </w:r>
          </w:p>
          <w:p>
            <w:pPr>
              <w:rPr>
                <w:rFonts w:eastAsia="仿宋_GB2312"/>
                <w:szCs w:val="21"/>
              </w:rPr>
            </w:pPr>
            <w:r>
              <w:rPr>
                <w:rFonts w:hint="eastAsia" w:eastAsia="仿宋_GB2312"/>
                <w:szCs w:val="21"/>
              </w:rPr>
              <w:t>（5）知道在协作过程中尊重他人的知识产权和创意成果，理解在人机协同过程中应具备的责任担当。</w:t>
            </w:r>
          </w:p>
        </w:tc>
        <w:tc>
          <w:tcPr>
            <w:tcW w:w="7727" w:type="dxa"/>
            <w:tcBorders>
              <w:top w:val="single" w:color="auto" w:sz="4" w:space="0"/>
              <w:left w:val="single" w:color="auto" w:sz="4" w:space="0"/>
              <w:bottom w:val="single" w:color="auto" w:sz="4" w:space="0"/>
              <w:right w:val="single" w:color="auto" w:sz="4" w:space="0"/>
            </w:tcBorders>
            <w:vAlign w:val="center"/>
          </w:tcPr>
          <w:p>
            <w:pPr>
              <w:rPr>
                <w:rFonts w:eastAsia="仿宋_GB2312"/>
                <w:szCs w:val="21"/>
              </w:rPr>
            </w:pPr>
            <w:r>
              <w:rPr>
                <w:rFonts w:hint="eastAsia" w:eastAsia="仿宋_GB2312"/>
                <w:szCs w:val="21"/>
              </w:rPr>
              <w:t>（</w:t>
            </w:r>
            <w:r>
              <w:rPr>
                <w:rFonts w:eastAsia="仿宋_GB2312"/>
                <w:szCs w:val="21"/>
              </w:rPr>
              <w:t>1</w:t>
            </w:r>
            <w:r>
              <w:rPr>
                <w:rFonts w:hint="eastAsia" w:eastAsia="仿宋_GB2312"/>
                <w:szCs w:val="21"/>
              </w:rPr>
              <w:t>）通过介绍我国在新能源、“文化出海”以及人工智能前沿领域的案例，帮助学生了解我国开展科技赋能创新的进展和成就。</w:t>
            </w:r>
          </w:p>
          <w:p>
            <w:pPr>
              <w:rPr>
                <w:rFonts w:eastAsia="仿宋_GB2312"/>
                <w:szCs w:val="21"/>
              </w:rPr>
            </w:pPr>
            <w:r>
              <w:rPr>
                <w:rFonts w:hint="eastAsia" w:eastAsia="仿宋_GB2312"/>
                <w:szCs w:val="21"/>
              </w:rPr>
              <w:t>（</w:t>
            </w:r>
            <w:r>
              <w:rPr>
                <w:rFonts w:eastAsia="仿宋_GB2312"/>
                <w:szCs w:val="21"/>
              </w:rPr>
              <w:t>2</w:t>
            </w:r>
            <w:r>
              <w:rPr>
                <w:rFonts w:hint="eastAsia" w:eastAsia="仿宋_GB2312"/>
                <w:szCs w:val="21"/>
              </w:rPr>
              <w:t>）结合学生对人工智能应用的体验开展机器学习，如在“垃圾智能分类”应用中，引导学生通过有标注的数据体验机器学习的过程；通过“迷宫寻宝”人机协作游戏，帮助学生了解角色在迷宫环境中交互、试错的过程，在游戏中认识机器学习。</w:t>
            </w:r>
          </w:p>
          <w:p>
            <w:pPr>
              <w:rPr>
                <w:rFonts w:eastAsia="仿宋_GB2312"/>
                <w:szCs w:val="21"/>
              </w:rPr>
            </w:pPr>
            <w:r>
              <w:rPr>
                <w:rFonts w:hint="eastAsia" w:eastAsia="仿宋_GB2312"/>
                <w:szCs w:val="21"/>
              </w:rPr>
              <w:t>（</w:t>
            </w:r>
            <w:r>
              <w:rPr>
                <w:rFonts w:eastAsia="仿宋_GB2312"/>
                <w:szCs w:val="21"/>
              </w:rPr>
              <w:t>3</w:t>
            </w:r>
            <w:r>
              <w:rPr>
                <w:rFonts w:hint="eastAsia" w:eastAsia="仿宋_GB2312"/>
                <w:szCs w:val="21"/>
              </w:rPr>
              <w:t>）结合人工智能工具和平台，围绕中华优秀传统文化元素（如非遗技艺、传统节日、历史故事等）设计创新应用场景案例（如国风插画展、戏曲动画秀、美食大比拼等），讨论如何借助科学技术实现文化传播。</w:t>
            </w:r>
          </w:p>
          <w:p>
            <w:pPr>
              <w:rPr>
                <w:rFonts w:eastAsia="仿宋_GB2312"/>
                <w:szCs w:val="21"/>
              </w:rPr>
            </w:pPr>
            <w:r>
              <w:rPr>
                <w:rFonts w:hint="eastAsia" w:eastAsia="仿宋_GB2312"/>
                <w:szCs w:val="21"/>
              </w:rPr>
              <w:t>（</w:t>
            </w:r>
            <w:r>
              <w:rPr>
                <w:rFonts w:eastAsia="仿宋_GB2312"/>
                <w:szCs w:val="21"/>
              </w:rPr>
              <w:t>4</w:t>
            </w:r>
            <w:r>
              <w:rPr>
                <w:rFonts w:hint="eastAsia" w:eastAsia="仿宋_GB2312"/>
                <w:szCs w:val="21"/>
              </w:rPr>
              <w:t>）引导学生从感兴趣的问题出发，设计简易人工智能创新应用，如预测在不同天气和交通状况下，同伴会选择何种交通工具上学；在问题发现与主题选定、方案设计与系统实践、系统评估与工程优化等过程都采用人工智能赋能，完成出行预测创新应用。</w:t>
            </w:r>
          </w:p>
          <w:p>
            <w:pPr>
              <w:rPr>
                <w:rFonts w:eastAsia="仿宋_GB2312"/>
                <w:szCs w:val="21"/>
              </w:rPr>
            </w:pPr>
            <w:r>
              <w:rPr>
                <w:rFonts w:hint="eastAsia" w:eastAsia="仿宋_GB2312"/>
                <w:szCs w:val="21"/>
              </w:rPr>
              <w:t>（</w:t>
            </w:r>
            <w:r>
              <w:rPr>
                <w:rFonts w:eastAsia="仿宋_GB2312"/>
                <w:szCs w:val="21"/>
              </w:rPr>
              <w:t>5</w:t>
            </w:r>
            <w:r>
              <w:rPr>
                <w:rFonts w:hint="eastAsia" w:eastAsia="仿宋_GB2312"/>
                <w:szCs w:val="21"/>
              </w:rPr>
              <w:t>）组织学生分组讨论数字作品知识产权的重要性，设计“数字作品知识产权保护倡议书”，知道应保护自己和他人的知识产权。</w:t>
            </w:r>
          </w:p>
        </w:tc>
        <w:tc>
          <w:tcPr>
            <w:tcW w:w="1837" w:type="dxa"/>
            <w:tcBorders>
              <w:top w:val="single" w:color="auto" w:sz="4" w:space="0"/>
              <w:left w:val="single" w:color="auto" w:sz="4" w:space="0"/>
              <w:bottom w:val="single" w:color="auto" w:sz="4" w:space="0"/>
              <w:right w:val="single" w:color="auto" w:sz="4" w:space="0"/>
            </w:tcBorders>
            <w:vAlign w:val="center"/>
          </w:tcPr>
          <w:p>
            <w:pPr>
              <w:rPr>
                <w:rFonts w:eastAsia="仿宋_GB2312"/>
                <w:szCs w:val="21"/>
              </w:rPr>
            </w:pPr>
            <w:r>
              <w:rPr>
                <w:rFonts w:eastAsia="仿宋_GB2312"/>
                <w:szCs w:val="21"/>
              </w:rPr>
              <w:t>1.未来智能场景畅想</w:t>
            </w:r>
          </w:p>
          <w:p>
            <w:pPr>
              <w:rPr>
                <w:rFonts w:eastAsia="仿宋_GB2312"/>
                <w:szCs w:val="21"/>
              </w:rPr>
            </w:pPr>
            <w:r>
              <w:rPr>
                <w:rFonts w:eastAsia="仿宋_GB2312"/>
                <w:szCs w:val="21"/>
              </w:rPr>
              <w:t>2.复原古建筑</w:t>
            </w:r>
          </w:p>
          <w:p>
            <w:pPr>
              <w:rPr>
                <w:rFonts w:eastAsia="仿宋_GB2312"/>
                <w:szCs w:val="21"/>
              </w:rPr>
            </w:pPr>
            <w:r>
              <w:rPr>
                <w:rFonts w:eastAsia="仿宋_GB2312"/>
                <w:szCs w:val="21"/>
              </w:rPr>
              <w:t>3.运动姿势识别小教练</w:t>
            </w:r>
          </w:p>
          <w:p>
            <w:pPr>
              <w:rPr>
                <w:rFonts w:eastAsia="仿宋_GB2312"/>
                <w:szCs w:val="21"/>
              </w:rPr>
            </w:pPr>
            <w:r>
              <w:rPr>
                <w:rFonts w:hint="eastAsia" w:eastAsia="仿宋_GB2312"/>
                <w:szCs w:val="21"/>
              </w:rPr>
              <w:t>4.用人工智能分析经纬度与生物多样性的关系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945" w:type="dxa"/>
            <w:tcBorders>
              <w:top w:val="single" w:color="auto" w:sz="4" w:space="0"/>
              <w:left w:val="single" w:color="auto" w:sz="4" w:space="0"/>
              <w:bottom w:val="single" w:color="auto" w:sz="4" w:space="0"/>
              <w:right w:val="single" w:color="auto" w:sz="4" w:space="0"/>
            </w:tcBorders>
            <w:vAlign w:val="center"/>
          </w:tcPr>
          <w:p>
            <w:pPr>
              <w:pStyle w:val="6"/>
              <w:spacing w:before="0" w:beforeAutospacing="0" w:after="0" w:afterAutospacing="0"/>
              <w:rPr>
                <w:rFonts w:eastAsia="仿宋_GB2312"/>
                <w:b/>
                <w:bCs/>
                <w:sz w:val="21"/>
                <w:szCs w:val="21"/>
              </w:rPr>
            </w:pPr>
            <w:r>
              <w:rPr>
                <w:rFonts w:eastAsia="仿宋_GB2312"/>
                <w:b/>
                <w:bCs/>
                <w:sz w:val="21"/>
                <w:szCs w:val="21"/>
              </w:rPr>
              <w:t>八年级</w:t>
            </w:r>
          </w:p>
        </w:tc>
        <w:tc>
          <w:tcPr>
            <w:tcW w:w="4582" w:type="dxa"/>
            <w:tcBorders>
              <w:top w:val="single" w:color="auto" w:sz="4" w:space="0"/>
              <w:left w:val="single" w:color="auto" w:sz="4" w:space="0"/>
              <w:bottom w:val="single" w:color="auto" w:sz="4" w:space="0"/>
              <w:right w:val="single" w:color="auto" w:sz="4" w:space="0"/>
            </w:tcBorders>
            <w:vAlign w:val="center"/>
          </w:tcPr>
          <w:p>
            <w:pPr>
              <w:numPr>
                <w:ilvl w:val="0"/>
                <w:numId w:val="1"/>
              </w:numPr>
              <w:rPr>
                <w:rFonts w:eastAsia="仿宋_GB2312"/>
                <w:szCs w:val="21"/>
              </w:rPr>
            </w:pPr>
            <w:r>
              <w:rPr>
                <w:rFonts w:hint="eastAsia" w:eastAsia="仿宋_GB2312"/>
                <w:szCs w:val="21"/>
              </w:rPr>
              <w:t>观察生活中多种具身人工智能设备的实际应用，分析它们的异同，初步了解具身人工智能的基本特征。</w:t>
            </w:r>
          </w:p>
          <w:p>
            <w:pPr>
              <w:numPr>
                <w:ilvl w:val="0"/>
                <w:numId w:val="1"/>
              </w:numPr>
              <w:rPr>
                <w:rFonts w:eastAsia="仿宋_GB2312"/>
                <w:szCs w:val="21"/>
              </w:rPr>
            </w:pPr>
            <w:r>
              <w:rPr>
                <w:rFonts w:hint="eastAsia" w:eastAsia="仿宋_GB2312"/>
                <w:szCs w:val="21"/>
              </w:rPr>
              <w:t>理解智能机器人的“具身”与“智能”特性，探究无人机在不同行业的智能应用。</w:t>
            </w:r>
          </w:p>
          <w:p>
            <w:pPr>
              <w:numPr>
                <w:ilvl w:val="0"/>
                <w:numId w:val="1"/>
              </w:numPr>
              <w:rPr>
                <w:rFonts w:eastAsia="仿宋_GB2312"/>
                <w:szCs w:val="21"/>
              </w:rPr>
            </w:pPr>
            <w:r>
              <w:rPr>
                <w:rFonts w:eastAsia="仿宋_GB2312"/>
                <w:szCs w:val="21"/>
              </w:rPr>
              <w:t>分析智能避障应用，体会具身智能</w:t>
            </w:r>
            <w:r>
              <w:rPr>
                <w:rFonts w:hint="eastAsia" w:eastAsia="仿宋_GB2312"/>
                <w:szCs w:val="21"/>
              </w:rPr>
              <w:t>“</w:t>
            </w:r>
            <w:r>
              <w:rPr>
                <w:rFonts w:eastAsia="仿宋_GB2312"/>
                <w:szCs w:val="21"/>
              </w:rPr>
              <w:t>感知—分析—决策—执行动作</w:t>
            </w:r>
            <w:r>
              <w:rPr>
                <w:rFonts w:hint="eastAsia" w:eastAsia="仿宋_GB2312"/>
                <w:szCs w:val="21"/>
              </w:rPr>
              <w:t>”</w:t>
            </w:r>
            <w:r>
              <w:rPr>
                <w:rFonts w:eastAsia="仿宋_GB2312"/>
                <w:szCs w:val="21"/>
              </w:rPr>
              <w:t>的基本过程。</w:t>
            </w:r>
          </w:p>
          <w:p>
            <w:pPr>
              <w:numPr>
                <w:ilvl w:val="0"/>
                <w:numId w:val="1"/>
              </w:numPr>
              <w:rPr>
                <w:rFonts w:eastAsia="仿宋_GB2312"/>
                <w:szCs w:val="21"/>
              </w:rPr>
            </w:pPr>
            <w:r>
              <w:rPr>
                <w:rFonts w:hint="eastAsia" w:eastAsia="仿宋_GB2312"/>
                <w:szCs w:val="21"/>
              </w:rPr>
              <w:t>借助简单智能装置或仿真环境，开展具身智能原型系统（如多机器人协同系统）的创新实践与探索。</w:t>
            </w:r>
            <w:bookmarkStart w:id="0" w:name="_GoBack"/>
            <w:bookmarkEnd w:id="0"/>
          </w:p>
          <w:p>
            <w:pPr>
              <w:numPr>
                <w:ilvl w:val="0"/>
                <w:numId w:val="1"/>
              </w:numPr>
              <w:rPr>
                <w:rFonts w:eastAsia="仿宋_GB2312"/>
                <w:szCs w:val="21"/>
              </w:rPr>
            </w:pPr>
            <w:r>
              <w:rPr>
                <w:rFonts w:hint="eastAsia" w:eastAsia="仿宋_GB2312"/>
                <w:szCs w:val="21"/>
              </w:rPr>
              <w:t>通过典型案例，理解具身智能系统的伦理与安全问题，认识自主可控技术在其中的重要意义。</w:t>
            </w:r>
          </w:p>
        </w:tc>
        <w:tc>
          <w:tcPr>
            <w:tcW w:w="7727" w:type="dxa"/>
            <w:tcBorders>
              <w:top w:val="single" w:color="auto" w:sz="4" w:space="0"/>
              <w:left w:val="single" w:color="auto" w:sz="4" w:space="0"/>
              <w:bottom w:val="single" w:color="auto" w:sz="4" w:space="0"/>
              <w:right w:val="single" w:color="auto" w:sz="4" w:space="0"/>
            </w:tcBorders>
            <w:vAlign w:val="center"/>
          </w:tcPr>
          <w:p>
            <w:pPr>
              <w:rPr>
                <w:rFonts w:eastAsia="仿宋_GB2312"/>
                <w:szCs w:val="21"/>
              </w:rPr>
            </w:pPr>
            <w:r>
              <w:rPr>
                <w:rFonts w:hint="eastAsia" w:eastAsia="仿宋_GB2312"/>
                <w:szCs w:val="21"/>
              </w:rPr>
              <w:t>（</w:t>
            </w:r>
            <w:r>
              <w:rPr>
                <w:rFonts w:eastAsia="仿宋_GB2312"/>
                <w:szCs w:val="21"/>
              </w:rPr>
              <w:t>1</w:t>
            </w:r>
            <w:r>
              <w:rPr>
                <w:rFonts w:hint="eastAsia" w:eastAsia="仿宋_GB2312"/>
                <w:szCs w:val="21"/>
              </w:rPr>
              <w:t>）</w:t>
            </w:r>
            <w:r>
              <w:rPr>
                <w:rFonts w:eastAsia="仿宋_GB2312"/>
                <w:szCs w:val="21"/>
              </w:rPr>
              <w:t>通过自动驾驶、无人机、智能机器人等多种具身智能场景，引导学生</w:t>
            </w:r>
            <w:r>
              <w:rPr>
                <w:rFonts w:hint="eastAsia" w:eastAsia="仿宋_GB2312"/>
                <w:szCs w:val="21"/>
              </w:rPr>
              <w:t>初步</w:t>
            </w:r>
            <w:r>
              <w:rPr>
                <w:rFonts w:eastAsia="仿宋_GB2312"/>
                <w:szCs w:val="21"/>
              </w:rPr>
              <w:t>了解具身智能的基本特</w:t>
            </w:r>
            <w:r>
              <w:rPr>
                <w:rFonts w:hint="eastAsia" w:eastAsia="仿宋_GB2312"/>
                <w:szCs w:val="21"/>
              </w:rPr>
              <w:t>征</w:t>
            </w:r>
            <w:r>
              <w:rPr>
                <w:rFonts w:eastAsia="仿宋_GB2312"/>
                <w:szCs w:val="21"/>
              </w:rPr>
              <w:t>。</w:t>
            </w:r>
          </w:p>
          <w:p>
            <w:pPr>
              <w:rPr>
                <w:rFonts w:eastAsia="仿宋_GB2312"/>
                <w:szCs w:val="21"/>
              </w:rPr>
            </w:pPr>
            <w:r>
              <w:rPr>
                <w:rFonts w:hint="eastAsia" w:eastAsia="仿宋_GB2312"/>
                <w:szCs w:val="21"/>
              </w:rPr>
              <w:t>（</w:t>
            </w:r>
            <w:r>
              <w:rPr>
                <w:rFonts w:eastAsia="仿宋_GB2312"/>
                <w:szCs w:val="21"/>
              </w:rPr>
              <w:t>2</w:t>
            </w:r>
            <w:r>
              <w:rPr>
                <w:rFonts w:hint="eastAsia" w:eastAsia="仿宋_GB2312"/>
                <w:szCs w:val="21"/>
              </w:rPr>
              <w:t>）</w:t>
            </w:r>
            <w:r>
              <w:rPr>
                <w:rFonts w:eastAsia="仿宋_GB2312"/>
                <w:szCs w:val="21"/>
              </w:rPr>
              <w:t>介绍不同的智能机器人应用（如家庭服务、医院导诊、应急救灾等）并与流水线机械臂等进行对比，引导学生探究智能机器人的</w:t>
            </w:r>
            <w:r>
              <w:rPr>
                <w:rFonts w:hint="eastAsia" w:eastAsia="仿宋_GB2312"/>
                <w:szCs w:val="21"/>
              </w:rPr>
              <w:t>“</w:t>
            </w:r>
            <w:r>
              <w:rPr>
                <w:rFonts w:eastAsia="仿宋_GB2312"/>
                <w:szCs w:val="21"/>
              </w:rPr>
              <w:t>具身</w:t>
            </w:r>
            <w:r>
              <w:rPr>
                <w:rFonts w:hint="eastAsia" w:eastAsia="仿宋_GB2312"/>
                <w:szCs w:val="21"/>
              </w:rPr>
              <w:t>”</w:t>
            </w:r>
            <w:r>
              <w:rPr>
                <w:rFonts w:eastAsia="仿宋_GB2312"/>
                <w:szCs w:val="21"/>
              </w:rPr>
              <w:t>和</w:t>
            </w:r>
            <w:r>
              <w:rPr>
                <w:rFonts w:hint="eastAsia" w:eastAsia="仿宋_GB2312"/>
                <w:szCs w:val="21"/>
              </w:rPr>
              <w:t>“</w:t>
            </w:r>
            <w:r>
              <w:rPr>
                <w:rFonts w:eastAsia="仿宋_GB2312"/>
                <w:szCs w:val="21"/>
              </w:rPr>
              <w:t>智能</w:t>
            </w:r>
            <w:r>
              <w:rPr>
                <w:rFonts w:hint="eastAsia" w:eastAsia="仿宋_GB2312"/>
                <w:szCs w:val="21"/>
              </w:rPr>
              <w:t>”</w:t>
            </w:r>
            <w:r>
              <w:rPr>
                <w:rFonts w:eastAsia="仿宋_GB2312"/>
                <w:szCs w:val="21"/>
              </w:rPr>
              <w:t>特性</w:t>
            </w:r>
            <w:r>
              <w:rPr>
                <w:rFonts w:hint="eastAsia" w:eastAsia="仿宋_GB2312"/>
                <w:szCs w:val="21"/>
              </w:rPr>
              <w:t>；</w:t>
            </w:r>
            <w:r>
              <w:rPr>
                <w:rFonts w:eastAsia="仿宋_GB2312"/>
                <w:szCs w:val="21"/>
              </w:rPr>
              <w:t>引导学生探究无人机在智慧农业、森林资源管理、环境监测等方面的智能应用。</w:t>
            </w:r>
          </w:p>
          <w:p>
            <w:pPr>
              <w:rPr>
                <w:rFonts w:eastAsia="仿宋_GB2312"/>
                <w:szCs w:val="21"/>
              </w:rPr>
            </w:pPr>
            <w:r>
              <w:rPr>
                <w:rFonts w:hint="eastAsia" w:eastAsia="仿宋_GB2312"/>
                <w:szCs w:val="21"/>
              </w:rPr>
              <w:t>（</w:t>
            </w:r>
            <w:r>
              <w:rPr>
                <w:rFonts w:eastAsia="仿宋_GB2312"/>
                <w:szCs w:val="21"/>
              </w:rPr>
              <w:t>3</w:t>
            </w:r>
            <w:r>
              <w:rPr>
                <w:rFonts w:hint="eastAsia" w:eastAsia="仿宋_GB2312"/>
                <w:szCs w:val="21"/>
              </w:rPr>
              <w:t>）</w:t>
            </w:r>
            <w:r>
              <w:rPr>
                <w:rFonts w:eastAsia="仿宋_GB2312"/>
                <w:szCs w:val="21"/>
              </w:rPr>
              <w:t>引导学生分析智能避障应用，体会具身智能</w:t>
            </w:r>
            <w:r>
              <w:rPr>
                <w:rFonts w:hint="eastAsia" w:eastAsia="仿宋_GB2312"/>
                <w:szCs w:val="21"/>
              </w:rPr>
              <w:t>“</w:t>
            </w:r>
            <w:r>
              <w:rPr>
                <w:rFonts w:eastAsia="仿宋_GB2312"/>
                <w:szCs w:val="21"/>
              </w:rPr>
              <w:t>感知—分析—决策—执行动作</w:t>
            </w:r>
            <w:r>
              <w:rPr>
                <w:rFonts w:hint="eastAsia" w:eastAsia="仿宋_GB2312"/>
                <w:szCs w:val="21"/>
              </w:rPr>
              <w:t>”</w:t>
            </w:r>
            <w:r>
              <w:rPr>
                <w:rFonts w:eastAsia="仿宋_GB2312"/>
                <w:szCs w:val="21"/>
              </w:rPr>
              <w:t>的基本过程，比如智能扫地机器人，了解机器人如何获取环境数据，分析数据识别出障碍物</w:t>
            </w:r>
            <w:r>
              <w:rPr>
                <w:rFonts w:hint="eastAsia" w:eastAsia="仿宋_GB2312"/>
                <w:szCs w:val="21"/>
              </w:rPr>
              <w:t>，</w:t>
            </w:r>
            <w:r>
              <w:rPr>
                <w:rFonts w:eastAsia="仿宋_GB2312"/>
                <w:szCs w:val="21"/>
              </w:rPr>
              <w:t>并改变路线自动避开障碍物</w:t>
            </w:r>
            <w:r>
              <w:rPr>
                <w:rFonts w:hint="eastAsia" w:eastAsia="仿宋_GB2312"/>
                <w:szCs w:val="21"/>
              </w:rPr>
              <w:t>。</w:t>
            </w:r>
          </w:p>
          <w:p>
            <w:pPr>
              <w:rPr>
                <w:rFonts w:eastAsia="仿宋_GB2312"/>
                <w:szCs w:val="21"/>
              </w:rPr>
            </w:pPr>
            <w:r>
              <w:rPr>
                <w:rFonts w:hint="eastAsia" w:eastAsia="仿宋_GB2312"/>
                <w:szCs w:val="21"/>
              </w:rPr>
              <w:t>（</w:t>
            </w:r>
            <w:r>
              <w:rPr>
                <w:rFonts w:eastAsia="仿宋_GB2312"/>
                <w:szCs w:val="21"/>
              </w:rPr>
              <w:t>4</w:t>
            </w:r>
            <w:r>
              <w:rPr>
                <w:rFonts w:hint="eastAsia" w:eastAsia="仿宋_GB2312"/>
                <w:szCs w:val="21"/>
              </w:rPr>
              <w:t>）</w:t>
            </w:r>
            <w:r>
              <w:rPr>
                <w:rFonts w:eastAsia="仿宋_GB2312"/>
                <w:szCs w:val="21"/>
              </w:rPr>
              <w:t>组织学生角色扮演</w:t>
            </w:r>
            <w:r>
              <w:rPr>
                <w:rFonts w:hint="eastAsia" w:eastAsia="仿宋_GB2312"/>
                <w:szCs w:val="21"/>
              </w:rPr>
              <w:t>“</w:t>
            </w:r>
            <w:r>
              <w:rPr>
                <w:rFonts w:eastAsia="仿宋_GB2312"/>
                <w:szCs w:val="21"/>
              </w:rPr>
              <w:t>火星探测器控制团队</w:t>
            </w:r>
            <w:r>
              <w:rPr>
                <w:rFonts w:hint="eastAsia" w:eastAsia="仿宋_GB2312"/>
                <w:szCs w:val="21"/>
              </w:rPr>
              <w:t>”</w:t>
            </w:r>
            <w:r>
              <w:rPr>
                <w:rFonts w:eastAsia="仿宋_GB2312"/>
                <w:szCs w:val="21"/>
              </w:rPr>
              <w:t>，制作模拟火星探测器具身智能系统原型，在模拟沙盘中根据实时气象数据（沙暴、温差）动态调整探测路线</w:t>
            </w:r>
            <w:r>
              <w:rPr>
                <w:rFonts w:hint="eastAsia" w:eastAsia="仿宋_GB2312"/>
                <w:szCs w:val="21"/>
              </w:rPr>
              <w:t>；</w:t>
            </w:r>
            <w:r>
              <w:rPr>
                <w:rFonts w:eastAsia="仿宋_GB2312"/>
                <w:szCs w:val="21"/>
              </w:rPr>
              <w:t>结合典型的多机系统的案例，如智能物流的无人仓等，</w:t>
            </w:r>
            <w:r>
              <w:rPr>
                <w:rFonts w:hint="eastAsia" w:eastAsia="仿宋_GB2312"/>
                <w:szCs w:val="21"/>
              </w:rPr>
              <w:t>探索</w:t>
            </w:r>
            <w:r>
              <w:rPr>
                <w:rFonts w:eastAsia="仿宋_GB2312"/>
                <w:szCs w:val="21"/>
              </w:rPr>
              <w:t>多机器人协同的</w:t>
            </w:r>
            <w:r>
              <w:rPr>
                <w:rFonts w:hint="eastAsia" w:eastAsia="仿宋_GB2312"/>
                <w:szCs w:val="21"/>
              </w:rPr>
              <w:t>过程</w:t>
            </w:r>
            <w:r>
              <w:rPr>
                <w:rFonts w:eastAsia="仿宋_GB2312"/>
                <w:szCs w:val="21"/>
              </w:rPr>
              <w:t>。</w:t>
            </w:r>
          </w:p>
          <w:p>
            <w:pPr>
              <w:rPr>
                <w:rFonts w:eastAsia="仿宋_GB2312"/>
                <w:szCs w:val="21"/>
              </w:rPr>
            </w:pPr>
            <w:r>
              <w:rPr>
                <w:rFonts w:hint="eastAsia" w:eastAsia="仿宋_GB2312"/>
                <w:szCs w:val="21"/>
              </w:rPr>
              <w:t>（5）</w:t>
            </w:r>
            <w:r>
              <w:rPr>
                <w:rFonts w:eastAsia="仿宋_GB2312"/>
                <w:szCs w:val="21"/>
              </w:rPr>
              <w:t>分析典型案例，如</w:t>
            </w:r>
            <w:r>
              <w:rPr>
                <w:rFonts w:hint="eastAsia" w:eastAsia="仿宋_GB2312"/>
                <w:szCs w:val="21"/>
              </w:rPr>
              <w:t>护理</w:t>
            </w:r>
            <w:r>
              <w:rPr>
                <w:rFonts w:eastAsia="仿宋_GB2312"/>
                <w:szCs w:val="21"/>
              </w:rPr>
              <w:t>机器人</w:t>
            </w:r>
            <w:r>
              <w:rPr>
                <w:rFonts w:hint="eastAsia" w:eastAsia="仿宋_GB2312"/>
                <w:szCs w:val="21"/>
              </w:rPr>
              <w:t>的安全隐患</w:t>
            </w:r>
            <w:r>
              <w:rPr>
                <w:rFonts w:eastAsia="仿宋_GB2312"/>
                <w:szCs w:val="21"/>
              </w:rPr>
              <w:t>，引导学生讨论具身智能的</w:t>
            </w:r>
            <w:r>
              <w:rPr>
                <w:rFonts w:hint="eastAsia" w:eastAsia="仿宋_GB2312"/>
                <w:szCs w:val="21"/>
              </w:rPr>
              <w:t>伦理与</w:t>
            </w:r>
            <w:r>
              <w:rPr>
                <w:rFonts w:eastAsia="仿宋_GB2312"/>
                <w:szCs w:val="21"/>
              </w:rPr>
              <w:t>安全问题</w:t>
            </w:r>
            <w:r>
              <w:rPr>
                <w:rFonts w:hint="eastAsia" w:eastAsia="仿宋_GB2312"/>
                <w:szCs w:val="21"/>
              </w:rPr>
              <w:t>；通过典型案例，如智能机器人核心技术自主可控，引导学生认识</w:t>
            </w:r>
            <w:r>
              <w:rPr>
                <w:rFonts w:eastAsia="仿宋_GB2312"/>
                <w:szCs w:val="21"/>
              </w:rPr>
              <w:t>自主可控技术</w:t>
            </w:r>
            <w:r>
              <w:rPr>
                <w:rFonts w:hint="eastAsia" w:eastAsia="仿宋_GB2312"/>
                <w:szCs w:val="21"/>
              </w:rPr>
              <w:t>在具身智能中</w:t>
            </w:r>
            <w:r>
              <w:rPr>
                <w:rFonts w:eastAsia="仿宋_GB2312"/>
                <w:szCs w:val="21"/>
              </w:rPr>
              <w:t>的重要意义。</w:t>
            </w:r>
          </w:p>
        </w:tc>
        <w:tc>
          <w:tcPr>
            <w:tcW w:w="1837" w:type="dxa"/>
            <w:tcBorders>
              <w:top w:val="single" w:color="auto" w:sz="4" w:space="0"/>
              <w:left w:val="single" w:color="auto" w:sz="4" w:space="0"/>
              <w:bottom w:val="single" w:color="auto" w:sz="4" w:space="0"/>
              <w:right w:val="single" w:color="auto" w:sz="4" w:space="0"/>
            </w:tcBorders>
            <w:vAlign w:val="center"/>
          </w:tcPr>
          <w:p>
            <w:pPr>
              <w:rPr>
                <w:rFonts w:eastAsia="仿宋_GB2312"/>
                <w:szCs w:val="21"/>
              </w:rPr>
            </w:pPr>
            <w:r>
              <w:rPr>
                <w:rFonts w:eastAsia="仿宋_GB2312"/>
                <w:szCs w:val="21"/>
              </w:rPr>
              <w:t>1.人工智能预测出行</w:t>
            </w:r>
          </w:p>
          <w:p>
            <w:pPr>
              <w:rPr>
                <w:rFonts w:eastAsia="仿宋_GB2312"/>
                <w:szCs w:val="21"/>
              </w:rPr>
            </w:pPr>
            <w:r>
              <w:rPr>
                <w:rFonts w:eastAsia="仿宋_GB2312"/>
                <w:szCs w:val="21"/>
              </w:rPr>
              <w:t>2.与历史人物跨时空对话</w:t>
            </w:r>
          </w:p>
          <w:p>
            <w:pPr>
              <w:rPr>
                <w:rFonts w:eastAsia="仿宋_GB2312"/>
                <w:szCs w:val="21"/>
              </w:rPr>
            </w:pPr>
            <w:r>
              <w:rPr>
                <w:rFonts w:eastAsia="仿宋_GB2312"/>
                <w:szCs w:val="21"/>
              </w:rPr>
              <w:t>3.与人形机器人赛跑</w:t>
            </w:r>
          </w:p>
          <w:p>
            <w:pPr>
              <w:rPr>
                <w:rFonts w:eastAsia="仿宋_GB2312"/>
                <w:szCs w:val="21"/>
              </w:rPr>
            </w:pPr>
            <w:r>
              <w:rPr>
                <w:rFonts w:hint="eastAsia" w:eastAsia="仿宋_GB2312"/>
                <w:szCs w:val="21"/>
              </w:rPr>
              <w:t>4.设计串并联工作过程的动画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rPr>
          <w:trHeight w:val="3713" w:hRule="atLeast"/>
        </w:trPr>
        <w:tc>
          <w:tcPr>
            <w:tcW w:w="945" w:type="dxa"/>
            <w:tcBorders>
              <w:top w:val="single" w:color="auto" w:sz="4" w:space="0"/>
              <w:left w:val="single" w:color="auto" w:sz="4" w:space="0"/>
              <w:bottom w:val="single" w:color="auto" w:sz="4" w:space="0"/>
              <w:right w:val="single" w:color="auto" w:sz="4" w:space="0"/>
            </w:tcBorders>
            <w:vAlign w:val="center"/>
          </w:tcPr>
          <w:p>
            <w:pPr>
              <w:pStyle w:val="6"/>
              <w:spacing w:before="0" w:beforeAutospacing="0" w:after="0" w:afterAutospacing="0"/>
              <w:rPr>
                <w:rFonts w:eastAsia="仿宋_GB2312"/>
                <w:b/>
                <w:bCs/>
                <w:sz w:val="21"/>
                <w:szCs w:val="21"/>
              </w:rPr>
            </w:pPr>
            <w:r>
              <w:rPr>
                <w:rFonts w:eastAsia="仿宋_GB2312"/>
                <w:b/>
                <w:bCs/>
                <w:sz w:val="21"/>
                <w:szCs w:val="21"/>
              </w:rPr>
              <w:t>九年级</w:t>
            </w:r>
          </w:p>
        </w:tc>
        <w:tc>
          <w:tcPr>
            <w:tcW w:w="4582" w:type="dxa"/>
            <w:tcBorders>
              <w:top w:val="single" w:color="auto" w:sz="4" w:space="0"/>
              <w:left w:val="single" w:color="auto" w:sz="4" w:space="0"/>
              <w:bottom w:val="single" w:color="auto" w:sz="4" w:space="0"/>
              <w:right w:val="single" w:color="auto" w:sz="4" w:space="0"/>
            </w:tcBorders>
            <w:vAlign w:val="center"/>
          </w:tcPr>
          <w:p>
            <w:pPr>
              <w:numPr>
                <w:ilvl w:val="0"/>
                <w:numId w:val="2"/>
              </w:numPr>
              <w:rPr>
                <w:rFonts w:eastAsia="仿宋_GB2312"/>
                <w:szCs w:val="21"/>
              </w:rPr>
            </w:pPr>
            <w:r>
              <w:rPr>
                <w:rFonts w:hint="eastAsia" w:eastAsia="仿宋_GB2312"/>
                <w:szCs w:val="21"/>
              </w:rPr>
              <w:t>体验人工智能赋能自主学习的过程，在数智化学习环境中尝试自我规划、自我管理和自我评价。</w:t>
            </w:r>
          </w:p>
          <w:p>
            <w:pPr>
              <w:numPr>
                <w:ilvl w:val="0"/>
                <w:numId w:val="2"/>
              </w:numPr>
              <w:rPr>
                <w:rFonts w:eastAsia="仿宋_GB2312"/>
                <w:szCs w:val="21"/>
              </w:rPr>
            </w:pPr>
            <w:r>
              <w:rPr>
                <w:rFonts w:hint="eastAsia" w:eastAsia="仿宋_GB2312"/>
                <w:szCs w:val="21"/>
              </w:rPr>
              <w:t>掌握利用人工智能技术跨学科解决问题的方法，关注并规避相关的安全与伦理风险。</w:t>
            </w:r>
          </w:p>
          <w:p>
            <w:pPr>
              <w:numPr>
                <w:ilvl w:val="0"/>
                <w:numId w:val="2"/>
              </w:numPr>
              <w:rPr>
                <w:rFonts w:eastAsia="仿宋_GB2312"/>
                <w:szCs w:val="21"/>
              </w:rPr>
            </w:pPr>
            <w:r>
              <w:rPr>
                <w:rFonts w:hint="eastAsia" w:eastAsia="仿宋_GB2312"/>
                <w:szCs w:val="21"/>
              </w:rPr>
              <w:t>结合真实问题场景，了解现有人工智能技术赋能方案，探索其跨领域迁移应用与拓展。</w:t>
            </w:r>
          </w:p>
          <w:p>
            <w:pPr>
              <w:numPr>
                <w:ilvl w:val="0"/>
                <w:numId w:val="2"/>
              </w:numPr>
              <w:rPr>
                <w:rFonts w:eastAsia="仿宋_GB2312"/>
                <w:szCs w:val="21"/>
              </w:rPr>
            </w:pPr>
            <w:r>
              <w:rPr>
                <w:rFonts w:hint="eastAsia" w:eastAsia="仿宋_GB2312"/>
                <w:szCs w:val="21"/>
              </w:rPr>
              <w:t>遵守科技向善伦理要求，提升终身学习意识，拓展国际合作视野，树立自主创新精神。</w:t>
            </w:r>
          </w:p>
          <w:p>
            <w:pPr>
              <w:rPr>
                <w:rFonts w:eastAsia="仿宋_GB2312"/>
                <w:szCs w:val="21"/>
              </w:rPr>
            </w:pPr>
            <w:r>
              <w:rPr>
                <w:rFonts w:hint="eastAsia" w:eastAsia="仿宋_GB2312"/>
                <w:szCs w:val="21"/>
              </w:rPr>
              <w:t>（5）</w:t>
            </w:r>
            <w:r>
              <w:rPr>
                <w:rFonts w:eastAsia="仿宋_GB2312"/>
                <w:szCs w:val="21"/>
              </w:rPr>
              <w:t>认识无人装置的伦理问题，理解在人机协作过程中应具备的责任担当。</w:t>
            </w:r>
          </w:p>
        </w:tc>
        <w:tc>
          <w:tcPr>
            <w:tcW w:w="7727" w:type="dxa"/>
            <w:tcBorders>
              <w:top w:val="single" w:color="auto" w:sz="4" w:space="0"/>
              <w:left w:val="single" w:color="auto" w:sz="4" w:space="0"/>
              <w:bottom w:val="single" w:color="auto" w:sz="4" w:space="0"/>
              <w:right w:val="single" w:color="auto" w:sz="4" w:space="0"/>
            </w:tcBorders>
            <w:vAlign w:val="center"/>
          </w:tcPr>
          <w:p>
            <w:pPr>
              <w:rPr>
                <w:rFonts w:eastAsia="仿宋_GB2312"/>
                <w:szCs w:val="21"/>
              </w:rPr>
            </w:pPr>
            <w:r>
              <w:rPr>
                <w:rFonts w:hint="eastAsia" w:eastAsia="仿宋_GB2312"/>
                <w:szCs w:val="21"/>
              </w:rPr>
              <w:t>（</w:t>
            </w:r>
            <w:r>
              <w:rPr>
                <w:rFonts w:eastAsia="仿宋_GB2312"/>
                <w:szCs w:val="21"/>
              </w:rPr>
              <w:t>1</w:t>
            </w:r>
            <w:r>
              <w:rPr>
                <w:rFonts w:hint="eastAsia" w:eastAsia="仿宋_GB2312"/>
                <w:szCs w:val="21"/>
              </w:rPr>
              <w:t>）利用人工智能导学系统，布置具体的学习任务，引导学生根据自身的学习目标和基础，制定学习计划、记录学习过程、评价学习进展，迭代和优化学习方式，生成学习档案。</w:t>
            </w:r>
          </w:p>
          <w:p>
            <w:pPr>
              <w:rPr>
                <w:rFonts w:eastAsia="仿宋_GB2312"/>
                <w:szCs w:val="21"/>
              </w:rPr>
            </w:pPr>
            <w:r>
              <w:rPr>
                <w:rFonts w:hint="eastAsia" w:eastAsia="仿宋_GB2312"/>
                <w:szCs w:val="21"/>
              </w:rPr>
              <w:t>（2）</w:t>
            </w:r>
            <w:r>
              <w:rPr>
                <w:rFonts w:eastAsia="仿宋_GB2312"/>
                <w:szCs w:val="21"/>
              </w:rPr>
              <w:t>学生以小组合作的方式，针对生活中的真实问题，综合运用跨学科知识，设计人工智能应用解决方案，形成方案报告，并在教师和</w:t>
            </w:r>
            <w:r>
              <w:rPr>
                <w:rFonts w:hint="eastAsia" w:eastAsia="仿宋_GB2312"/>
                <w:szCs w:val="21"/>
              </w:rPr>
              <w:t>人工智能工具</w:t>
            </w:r>
            <w:r>
              <w:rPr>
                <w:rFonts w:eastAsia="仿宋_GB2312"/>
                <w:szCs w:val="21"/>
              </w:rPr>
              <w:t>辅助下完成核心功能演示系统</w:t>
            </w:r>
            <w:r>
              <w:rPr>
                <w:rFonts w:hint="eastAsia" w:eastAsia="仿宋_GB2312"/>
                <w:szCs w:val="21"/>
              </w:rPr>
              <w:t>，</w:t>
            </w:r>
            <w:r>
              <w:rPr>
                <w:rFonts w:eastAsia="仿宋_GB2312"/>
                <w:szCs w:val="21"/>
              </w:rPr>
              <w:t>引导学生在实践过程中考虑相关的安全与伦理问题。</w:t>
            </w:r>
          </w:p>
          <w:p>
            <w:pPr>
              <w:rPr>
                <w:rFonts w:eastAsia="仿宋_GB2312"/>
                <w:szCs w:val="21"/>
              </w:rPr>
            </w:pPr>
            <w:r>
              <w:rPr>
                <w:rFonts w:hint="eastAsia" w:eastAsia="仿宋_GB2312"/>
                <w:szCs w:val="21"/>
              </w:rPr>
              <w:t>（3）</w:t>
            </w:r>
            <w:r>
              <w:rPr>
                <w:rFonts w:eastAsia="仿宋_GB2312"/>
                <w:szCs w:val="21"/>
              </w:rPr>
              <w:t>围绕智能制造等前沿应用场景，组织学生研讨相关人工智能解决方案的迁移应用</w:t>
            </w:r>
            <w:r>
              <w:rPr>
                <w:rFonts w:hint="eastAsia" w:eastAsia="仿宋_GB2312"/>
                <w:szCs w:val="21"/>
              </w:rPr>
              <w:t>。</w:t>
            </w:r>
          </w:p>
          <w:p>
            <w:pPr>
              <w:rPr>
                <w:rFonts w:eastAsia="仿宋_GB2312"/>
                <w:szCs w:val="21"/>
              </w:rPr>
            </w:pPr>
            <w:r>
              <w:rPr>
                <w:rFonts w:hint="eastAsia" w:eastAsia="仿宋_GB2312"/>
                <w:szCs w:val="21"/>
              </w:rPr>
              <w:t>（4）组织学生开展AI创新挑战项目（如智慧社区治理、气候变化治理等），分阶段完成闭环实践，包括智能工具驱动学习、多国政策比较、伦理合规分析、基于国产技术的原型系统开发等活动。</w:t>
            </w:r>
          </w:p>
          <w:p>
            <w:pPr>
              <w:rPr>
                <w:rFonts w:eastAsia="仿宋_GB2312"/>
                <w:szCs w:val="21"/>
              </w:rPr>
            </w:pPr>
            <w:r>
              <w:rPr>
                <w:rFonts w:hint="eastAsia" w:eastAsia="仿宋_GB2312"/>
                <w:szCs w:val="21"/>
              </w:rPr>
              <w:t>（5）</w:t>
            </w:r>
            <w:r>
              <w:rPr>
                <w:rFonts w:eastAsia="仿宋_GB2312"/>
                <w:szCs w:val="21"/>
              </w:rPr>
              <w:t>分析无人驾驶等真实案例，组织学生研讨人机协作解决问题的过程中人与人工智能的角色和分工</w:t>
            </w:r>
            <w:r>
              <w:rPr>
                <w:rFonts w:hint="eastAsia" w:eastAsia="仿宋_GB2312"/>
                <w:szCs w:val="21"/>
              </w:rPr>
              <w:t>，</w:t>
            </w:r>
            <w:r>
              <w:rPr>
                <w:rFonts w:eastAsia="仿宋_GB2312"/>
                <w:szCs w:val="21"/>
              </w:rPr>
              <w:t>应具备的责任意识和担当精神等。</w:t>
            </w:r>
          </w:p>
        </w:tc>
        <w:tc>
          <w:tcPr>
            <w:tcW w:w="1837" w:type="dxa"/>
            <w:tcBorders>
              <w:top w:val="single" w:color="auto" w:sz="4" w:space="0"/>
              <w:left w:val="single" w:color="auto" w:sz="4" w:space="0"/>
              <w:bottom w:val="single" w:color="auto" w:sz="4" w:space="0"/>
              <w:right w:val="single" w:color="auto" w:sz="4" w:space="0"/>
            </w:tcBorders>
            <w:vAlign w:val="center"/>
          </w:tcPr>
          <w:p>
            <w:pPr>
              <w:rPr>
                <w:rFonts w:eastAsia="仿宋_GB2312"/>
                <w:szCs w:val="21"/>
              </w:rPr>
            </w:pPr>
            <w:r>
              <w:rPr>
                <w:rFonts w:eastAsia="仿宋_GB2312"/>
                <w:szCs w:val="21"/>
              </w:rPr>
              <w:t>1.智能时代</w:t>
            </w:r>
            <w:r>
              <w:rPr>
                <w:rFonts w:hint="eastAsia" w:eastAsia="仿宋_GB2312"/>
                <w:szCs w:val="21"/>
              </w:rPr>
              <w:t>人工智能</w:t>
            </w:r>
            <w:r>
              <w:rPr>
                <w:rFonts w:eastAsia="仿宋_GB2312"/>
                <w:szCs w:val="21"/>
              </w:rPr>
              <w:t>的写作边界探讨</w:t>
            </w:r>
          </w:p>
          <w:p>
            <w:pPr>
              <w:rPr>
                <w:rFonts w:eastAsia="仿宋_GB2312"/>
                <w:szCs w:val="21"/>
              </w:rPr>
            </w:pPr>
            <w:r>
              <w:rPr>
                <w:rFonts w:eastAsia="仿宋_GB2312"/>
                <w:szCs w:val="21"/>
              </w:rPr>
              <w:t>2.无人机救助任务</w:t>
            </w:r>
          </w:p>
          <w:p>
            <w:pPr>
              <w:rPr>
                <w:rFonts w:eastAsia="仿宋_GB2312"/>
                <w:szCs w:val="21"/>
              </w:rPr>
            </w:pPr>
            <w:r>
              <w:rPr>
                <w:rFonts w:eastAsia="仿宋_GB2312"/>
                <w:szCs w:val="21"/>
              </w:rPr>
              <w:t>3.人工智能辅助即兴音乐创作与风格模拟</w:t>
            </w:r>
          </w:p>
          <w:p>
            <w:pPr>
              <w:rPr>
                <w:rFonts w:eastAsia="仿宋_GB2312"/>
                <w:szCs w:val="21"/>
              </w:rPr>
            </w:pPr>
            <w:r>
              <w:rPr>
                <w:rFonts w:hint="eastAsia" w:eastAsia="仿宋_GB2312"/>
                <w:szCs w:val="21"/>
              </w:rPr>
              <w:t>4.用人工智能创作三维地图</w:t>
            </w:r>
          </w:p>
        </w:tc>
      </w:tr>
    </w:tbl>
    <w:p>
      <w:pPr>
        <w:ind w:firstLine="420" w:firstLineChars="200"/>
      </w:pPr>
    </w:p>
    <w:sectPr>
      <w:footerReference r:id="rId4" w:type="default"/>
      <w:pgSz w:w="16838" w:h="11906" w:orient="landscape"/>
      <w:pgMar w:top="1800" w:right="1440" w:bottom="1800" w:left="144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方正小标宋简体">
    <w:panose1 w:val="02000000000000000000"/>
    <w:charset w:val="86"/>
    <w:family w:val="auto"/>
    <w:pitch w:val="default"/>
    <w:sig w:usb0="A00002BF" w:usb1="184F6CFA" w:usb2="00000012" w:usb3="00000000" w:csb0="00040001" w:csb1="00000000"/>
  </w:font>
  <w:font w:name="仿宋_GB2312">
    <w:altName w:val="仿宋"/>
    <w:panose1 w:val="02010609030101010101"/>
    <w:charset w:val="86"/>
    <w:family w:val="auto"/>
    <w:pitch w:val="default"/>
    <w:sig w:usb0="00000001" w:usb1="080E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4"/>
    </w:pPr>
    <w:r>
      <w:rPr>
        <w:rFonts w:ascii="Times New Roman" w:hAnsi="Times New Roman" w:eastAsia="宋体" w:cs="Times New Roman"/>
        <w:kern w:val="2"/>
        <w:sz w:val="18"/>
        <w:szCs w:val="24"/>
        <w:lang w:val="en-US" w:eastAsia="zh-CN" w:bidi="ar-SA"/>
      </w:rPr>
      <w:pict>
        <v:rect id="文本框 1025" o:spid="_x0000_s1025" style="position:absolute;left:0;margin-top:0pt;height:18.15pt;width:56.05pt;mso-position-horizontal:center;mso-position-horizontal-relative:margin;mso-wrap-style:none;rotation:0f;z-index:251658240;" o:ole="f" fillcolor="#FFFFFF" filled="f" o:preferrelative="t" stroked="f" coordsize="21600,21600">
          <v:fill on="f" color2="#FFFFFF" focus="0%"/>
          <v:imagedata gain="65536f" blacklevel="0f" gamma="0"/>
          <o:lock v:ext="edit" position="f" selection="f" grouping="f" rotation="f" cropping="f" text="f" aspectratio="f"/>
          <v:textbox inset="0.00pt,0.00pt,0.00pt,0.00pt" style="mso-fit-shape-to-text:t;">
            <w:txbxContent>
              <w:p>
                <w:pPr>
                  <w:pStyle w:val="4"/>
                  <w:rPr>
                    <w:rFonts w:ascii="宋体" w:hAnsi="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w:t>
                </w:r>
              </w:p>
            </w:txbxContent>
          </v:textbox>
        </v:rect>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359456556">
    <w:nsid w:val="5107A92C"/>
    <w:multiLevelType w:val="singleLevel"/>
    <w:tmpl w:val="5107A92C"/>
    <w:lvl w:ilvl="0" w:tentative="1">
      <w:start w:val="1"/>
      <w:numFmt w:val="decimal"/>
      <w:suff w:val="nothing"/>
      <w:lvlText w:val="（%1）"/>
      <w:lvlJc w:val="left"/>
    </w:lvl>
  </w:abstractNum>
  <w:abstractNum w:abstractNumId="2131472399">
    <w:nsid w:val="7F0BB00F"/>
    <w:multiLevelType w:val="singleLevel"/>
    <w:tmpl w:val="7F0BB00F"/>
    <w:lvl w:ilvl="0" w:tentative="1">
      <w:start w:val="1"/>
      <w:numFmt w:val="decimal"/>
      <w:suff w:val="nothing"/>
      <w:lvlText w:val="（%1）"/>
      <w:lvlJc w:val="left"/>
    </w:lvl>
  </w:abstractNum>
  <w:num w:numId="1">
    <w:abstractNumId w:val="1359456556"/>
  </w:num>
  <w:num w:numId="2">
    <w:abstractNumId w:val="21314723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bordersDoNotSurroundHeader w:val="1"/>
  <w:bordersDoNotSurroundFooter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docVars>
    <w:docVar w:name="commondata" w:val="eyJoZGlkIjoiMjE4N2E5YmE1NzhhMTdkNmY4YTBjYzA4Y2JiOWFhZTIifQ=="/>
    <w:docVar w:name="KSO_WPS_MARK_KEY" w:val="f64bd8bd-338d-467b-8736-e1e9ebc0b2d9"/>
  </w:docVars>
  <w:rsids>
    <w:rsidRoot w:val="003D32B8"/>
    <w:rsid w:val="000E4000"/>
    <w:rsid w:val="00140EC7"/>
    <w:rsid w:val="0014353B"/>
    <w:rsid w:val="001B1792"/>
    <w:rsid w:val="00215625"/>
    <w:rsid w:val="002E7079"/>
    <w:rsid w:val="0030117A"/>
    <w:rsid w:val="00331F4E"/>
    <w:rsid w:val="003D32B8"/>
    <w:rsid w:val="00472DE4"/>
    <w:rsid w:val="00487ADC"/>
    <w:rsid w:val="0052503F"/>
    <w:rsid w:val="00547D23"/>
    <w:rsid w:val="006342F2"/>
    <w:rsid w:val="0064707E"/>
    <w:rsid w:val="007F7989"/>
    <w:rsid w:val="00877964"/>
    <w:rsid w:val="00897C3E"/>
    <w:rsid w:val="00904B7B"/>
    <w:rsid w:val="00911744"/>
    <w:rsid w:val="009B654A"/>
    <w:rsid w:val="00AC4679"/>
    <w:rsid w:val="00B06561"/>
    <w:rsid w:val="00BB4E96"/>
    <w:rsid w:val="00BB5D1B"/>
    <w:rsid w:val="00BC7DA8"/>
    <w:rsid w:val="00BD3BF9"/>
    <w:rsid w:val="00C114E3"/>
    <w:rsid w:val="00CC7265"/>
    <w:rsid w:val="00D4793F"/>
    <w:rsid w:val="00D60EC5"/>
    <w:rsid w:val="00E05F2A"/>
    <w:rsid w:val="00E34D34"/>
    <w:rsid w:val="00E41E0A"/>
    <w:rsid w:val="00E4624E"/>
    <w:rsid w:val="04982581"/>
    <w:rsid w:val="059A29F4"/>
    <w:rsid w:val="06E31405"/>
    <w:rsid w:val="08A676AC"/>
    <w:rsid w:val="09907166"/>
    <w:rsid w:val="0C953035"/>
    <w:rsid w:val="0DB00835"/>
    <w:rsid w:val="0DED62DF"/>
    <w:rsid w:val="0DEF7521"/>
    <w:rsid w:val="0F222B16"/>
    <w:rsid w:val="154500EE"/>
    <w:rsid w:val="15592DD8"/>
    <w:rsid w:val="15A40FCF"/>
    <w:rsid w:val="16176ECF"/>
    <w:rsid w:val="19444FD7"/>
    <w:rsid w:val="19811875"/>
    <w:rsid w:val="19D52E1E"/>
    <w:rsid w:val="1E15696A"/>
    <w:rsid w:val="1EFB310E"/>
    <w:rsid w:val="20964CDE"/>
    <w:rsid w:val="23311D7B"/>
    <w:rsid w:val="23CD6FBF"/>
    <w:rsid w:val="290D6B14"/>
    <w:rsid w:val="297A4EC3"/>
    <w:rsid w:val="299A31C8"/>
    <w:rsid w:val="2A361AD4"/>
    <w:rsid w:val="2BBB68C3"/>
    <w:rsid w:val="2C3052CA"/>
    <w:rsid w:val="2C751BEA"/>
    <w:rsid w:val="304E5F3E"/>
    <w:rsid w:val="34285768"/>
    <w:rsid w:val="34CD668D"/>
    <w:rsid w:val="38836114"/>
    <w:rsid w:val="3D037513"/>
    <w:rsid w:val="3DA83453"/>
    <w:rsid w:val="3F4A0E5C"/>
    <w:rsid w:val="3FC96FE3"/>
    <w:rsid w:val="40BB44F1"/>
    <w:rsid w:val="45670E86"/>
    <w:rsid w:val="493F63DC"/>
    <w:rsid w:val="4DD840BD"/>
    <w:rsid w:val="535F6FF7"/>
    <w:rsid w:val="54DE4176"/>
    <w:rsid w:val="56C41E5B"/>
    <w:rsid w:val="57C03FE3"/>
    <w:rsid w:val="587526A5"/>
    <w:rsid w:val="590A1CD5"/>
    <w:rsid w:val="59C60207"/>
    <w:rsid w:val="5A6E7E30"/>
    <w:rsid w:val="5BA84677"/>
    <w:rsid w:val="61026BD2"/>
    <w:rsid w:val="61293667"/>
    <w:rsid w:val="61E762FE"/>
    <w:rsid w:val="63D13AA5"/>
    <w:rsid w:val="63D30891"/>
    <w:rsid w:val="640B10AC"/>
    <w:rsid w:val="643B4A8A"/>
    <w:rsid w:val="66CE2FE5"/>
    <w:rsid w:val="6DB8318D"/>
    <w:rsid w:val="709873BA"/>
    <w:rsid w:val="733A5CDF"/>
    <w:rsid w:val="748B06B8"/>
    <w:rsid w:val="787A41F5"/>
    <w:rsid w:val="797372E9"/>
    <w:rsid w:val="7A557C33"/>
    <w:rsid w:val="7A5C1582"/>
    <w:rsid w:val="7D64354D"/>
    <w:rsid w:val="7E931D9F"/>
  </w:rsids>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9">
    <w:name w:val="Normal Table"/>
    <w:unhideWhenUsed/>
    <w:uiPriority w:val="99"/>
    <w:tblPr>
      <w:tblStyle w:val="9"/>
      <w:tblLayout w:type="fixed"/>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12"/>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100" w:beforeAutospacing="1" w:after="100" w:afterAutospacing="1"/>
      <w:jc w:val="left"/>
    </w:pPr>
    <w:rPr>
      <w:kern w:val="0"/>
      <w:sz w:val="24"/>
    </w:rPr>
  </w:style>
  <w:style w:type="character" w:styleId="8">
    <w:name w:val="Strong"/>
    <w:qFormat/>
    <w:uiPriority w:val="22"/>
    <w:rPr>
      <w:b/>
    </w:rPr>
  </w:style>
  <w:style w:type="paragraph" w:customStyle="1" w:styleId="10">
    <w:name w:val="_Style 9"/>
    <w:unhideWhenUsed/>
    <w:qFormat/>
    <w:uiPriority w:val="99"/>
    <w:rPr>
      <w:rFonts w:ascii="Times New Roman" w:hAnsi="Times New Roman" w:eastAsia="宋体" w:cs="Times New Roman"/>
      <w:kern w:val="2"/>
      <w:sz w:val="21"/>
      <w:szCs w:val="24"/>
      <w:lang w:val="en-US" w:eastAsia="zh-CN" w:bidi="ar-SA"/>
    </w:rPr>
  </w:style>
  <w:style w:type="character" w:customStyle="1" w:styleId="11">
    <w:name w:val="页眉 字符"/>
    <w:link w:val="5"/>
    <w:qFormat/>
    <w:uiPriority w:val="0"/>
    <w:rPr>
      <w:kern w:val="2"/>
      <w:sz w:val="18"/>
      <w:szCs w:val="18"/>
    </w:rPr>
  </w:style>
  <w:style w:type="character" w:customStyle="1" w:styleId="12">
    <w:name w:val="批注框文本 字符"/>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812</Words>
  <Characters>4631</Characters>
  <Lines>38</Lines>
  <Paragraphs>10</Paragraphs>
  <TotalTime>0</TotalTime>
  <ScaleCrop>false</ScaleCrop>
  <LinksUpToDate>false</LinksUpToDate>
  <CharactersWithSpaces>0</CharactersWithSpaces>
  <Application>WPS Office 专业版_9.1.0.4940_F1E327BC-269C-435d-A152-05C5408002CA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2026-04-02T14:39:00Z</dcterms:created>
  <dc:creator>molly</dc:creator>
  <cp:lastModifiedBy>科教社</cp:lastModifiedBy>
  <cp:lastPrinted>2025-07-02T04:58:00Z</cp:lastPrinted>
  <dcterms:modified xsi:type="dcterms:W3CDTF">2026-04-15T05:40:34Z</dcterms:modified>
  <dc:title>附录</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y fmtid="{D5CDD505-2E9C-101B-9397-08002B2CF9AE}" pid="3" name="KSOTemplateDocerSaveRecord">
    <vt:lpwstr>eyJoZGlkIjoiNmNjZjdjNjMwN2ZhZTlkZWRjZjk0NjhiNDQ0MGE2ZmIiLCJ1c2VySWQiOiIyMDI1ODkwMjAifQ==</vt:lpwstr>
  </property>
  <property fmtid="{D5CDD505-2E9C-101B-9397-08002B2CF9AE}" pid="4" name="ICV">
    <vt:lpwstr>C81880F1EB6C4A0DA82EE7A13E9717FC_13</vt:lpwstr>
  </property>
</Properties>
</file>