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color w:val="000000"/>
        </w:rPr>
        <w:t>Core Agent Daily Update 2026 10 12</w:t>
      </w:r>
    </w:p>
    <w:p>
      <w:pPr>
        <w:spacing w:after="160"/>
      </w:pPr>
      <w:r>
        <w:t>面向 Personal AI Fund Manager 主链路的事实更新。本文只记录已实现、已验证和待 Owner 确认的内容；独立 Risk 审核闭环尚未完成。</w:t>
      </w:r>
    </w:p>
    <w:p>
      <w:pPr>
        <w:pStyle w:val="Heading1"/>
      </w:pPr>
      <w:r>
        <w:rPr>
          <w:color w:val="000000"/>
        </w:rPr>
        <w:t>今日真实产出</w:t>
      </w:r>
    </w:p>
    <w:p>
      <w:r>
        <w:t>团队 main 的 chenchen Core 今日无业务代码变更。个人仓库工作区完成 investment-agent.v1 的跨对象语义检查、ErrorTrace 结构和失败任务追踪增强；本日报只读记录这些改动，不代提交个人业务代码。架构图、时序图和统一 Contract 继续以现有 Markdown/Schema 与 2026-10-10 联调手册为源。</w:t>
      </w:r>
    </w:p>
    <w:p>
      <w:pPr>
        <w:pStyle w:val="Heading1"/>
      </w:pPr>
      <w:r>
        <w:rPr>
          <w:color w:val="000000"/>
        </w:rPr>
        <w:t>今日结论</w:t>
      </w:r>
    </w:p>
    <w:p>
      <w:r>
        <w:t>两边 npm run check 与测试均通过，主链路仍从请求进入到 Risk Handoff 后停止在 PENDING_REVIEW。execution_allowed 固定为 false；前端 approval 不是交易授权。</w:t>
      </w:r>
    </w:p>
    <w:p>
      <w:pPr>
        <w:pStyle w:val="Heading1"/>
      </w:pPr>
      <w:r>
        <w:rPr>
          <w:color w:val="000000"/>
        </w:rPr>
        <w:t>安全边界</w:t>
      </w:r>
    </w:p>
    <w:p>
      <w:r>
        <w:t>Quant 只消费既有 metrics、target_weights、simulation comparisons，未重新计算收益、回撤、相关性或模拟结果。Memory consent、范围、生命周期、清理和持久化规则未改。市场价格与新闻方向冲突只记录 REVIEW_REQUIRED。</w:t>
      </w:r>
    </w:p>
    <w:p>
      <w:pPr>
        <w:pStyle w:val="Heading1"/>
      </w:pPr>
      <w:r>
        <w:t>A 已完成的核心接口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vAlign w:val="center"/>
            <w:shd w:fill="1F4E78"/>
          </w:tcPr>
          <w:p>
            <w:pPr>
              <w:spacing w:after="40"/>
            </w:pPr>
            <w:r>
              <w:rPr>
                <w:color w:val="FFFFFF"/>
              </w:rPr>
            </w:r>
            <w:r>
              <w:rPr>
                <w:b/>
                <w:color w:val="FFFFFF"/>
                <w:sz w:val="17"/>
              </w:rPr>
              <w:t>接口 / Contract</w:t>
            </w:r>
          </w:p>
        </w:tc>
        <w:tc>
          <w:tcPr>
            <w:tcW w:type="dxa" w:w="2556"/>
            <w:vAlign w:val="center"/>
            <w:shd w:fill="1F4E78"/>
          </w:tcPr>
          <w:p>
            <w:pPr>
              <w:spacing w:after="40"/>
            </w:pPr>
            <w:r>
              <w:rPr>
                <w:color w:val="FFFFFF"/>
              </w:rPr>
            </w:r>
            <w:r>
              <w:rPr>
                <w:b/>
                <w:color w:val="FFFFFF"/>
                <w:sz w:val="17"/>
              </w:rPr>
              <w:t>版本</w:t>
            </w:r>
          </w:p>
        </w:tc>
        <w:tc>
          <w:tcPr>
            <w:tcW w:type="dxa" w:w="2556"/>
            <w:vAlign w:val="center"/>
            <w:shd w:fill="1F4E78"/>
          </w:tcPr>
          <w:p>
            <w:pPr>
              <w:spacing w:after="40"/>
            </w:pPr>
            <w:r>
              <w:rPr>
                <w:color w:val="FFFFFF"/>
              </w:rPr>
            </w:r>
            <w:r>
              <w:rPr>
                <w:b/>
                <w:color w:val="FFFFFF"/>
                <w:sz w:val="17"/>
              </w:rPr>
              <w:t>生产方 → 消费方</w:t>
            </w:r>
          </w:p>
        </w:tc>
        <w:tc>
          <w:tcPr>
            <w:tcW w:type="dxa" w:w="2556"/>
            <w:vAlign w:val="center"/>
            <w:shd w:fill="1F4E78"/>
          </w:tcPr>
          <w:p>
            <w:pPr>
              <w:spacing w:after="40"/>
            </w:pPr>
            <w:r>
              <w:rPr>
                <w:color w:val="FFFFFF"/>
              </w:rPr>
            </w:r>
            <w:r>
              <w:rPr>
                <w:b/>
                <w:color w:val="FFFFFF"/>
                <w:sz w:val="17"/>
              </w:rPr>
              <w:t>当前状态与证据</w:t>
            </w:r>
          </w:p>
        </w:tc>
      </w:tr>
      <w:tr>
        <w:tc>
          <w:tcPr>
            <w:tcW w:type="dxa" w:w="2556"/>
            <w:vAlign w:val="center"/>
            <w:shd w:fill="FFFFFF"/>
          </w:tcPr>
          <w:p>
            <w:pPr>
              <w:spacing w:after="40"/>
            </w:pPr>
            <w:r/>
            <w:r>
              <w:rPr>
                <w:b w:val="0"/>
                <w:sz w:val="17"/>
              </w:rPr>
              <w:t>Agent request/response</w:t>
            </w:r>
          </w:p>
        </w:tc>
        <w:tc>
          <w:tcPr>
            <w:tcW w:type="dxa" w:w="2556"/>
            <w:vAlign w:val="center"/>
            <w:shd w:fill="FFFFFF"/>
          </w:tcPr>
          <w:p>
            <w:pPr>
              <w:spacing w:after="40"/>
            </w:pPr>
            <w:r/>
            <w:r>
              <w:rPr>
                <w:b w:val="0"/>
                <w:sz w:val="17"/>
              </w:rPr>
              <w:t>investment-agent.v1</w:t>
            </w:r>
          </w:p>
        </w:tc>
        <w:tc>
          <w:tcPr>
            <w:tcW w:type="dxa" w:w="2556"/>
            <w:vAlign w:val="center"/>
            <w:shd w:fill="FFFFFF"/>
          </w:tcPr>
          <w:p>
            <w:pPr>
              <w:spacing w:after="40"/>
            </w:pPr>
            <w:r/>
            <w:r>
              <w:rPr>
                <w:b w:val="0"/>
                <w:sz w:val="17"/>
              </w:rPr>
              <w:t>Backend/Core Agent → Harness/UI/Risk bridge</w:t>
            </w:r>
          </w:p>
        </w:tc>
        <w:tc>
          <w:tcPr>
            <w:tcW w:type="dxa" w:w="2556"/>
            <w:vAlign w:val="center"/>
            <w:shd w:fill="FFFFFF"/>
          </w:tcPr>
          <w:p>
            <w:pPr>
              <w:spacing w:after="40"/>
            </w:pPr>
            <w:r/>
            <w:r>
              <w:rPr>
                <w:b w:val="0"/>
                <w:sz w:val="17"/>
              </w:rPr>
              <w:t>request/task/session、task_state、artifacts、tool_results、audit_evidence、risk_handoff 已验证；跨对象检查见 contracts/investment-contract.js 与 Schema。</w:t>
            </w:r>
          </w:p>
        </w:tc>
      </w:tr>
      <w:tr>
        <w:tc>
          <w:tcPr>
            <w:tcW w:type="dxa" w:w="2556"/>
            <w:vAlign w:val="center"/>
            <w:shd w:fill="F7F9FB"/>
          </w:tcPr>
          <w:p>
            <w:pPr>
              <w:spacing w:after="40"/>
            </w:pPr>
            <w:r/>
            <w:r>
              <w:rPr>
                <w:b w:val="0"/>
                <w:sz w:val="17"/>
              </w:rPr>
              <w:t>Error envelope</w:t>
            </w:r>
          </w:p>
        </w:tc>
        <w:tc>
          <w:tcPr>
            <w:tcW w:type="dxa" w:w="2556"/>
            <w:vAlign w:val="center"/>
            <w:shd w:fill="F7F9FB"/>
          </w:tcPr>
          <w:p>
            <w:pPr>
              <w:spacing w:after="40"/>
            </w:pPr>
            <w:r/>
            <w:r>
              <w:rPr>
                <w:b w:val="0"/>
                <w:sz w:val="17"/>
              </w:rPr>
              <w:t>investment-agent.v1</w:t>
            </w:r>
          </w:p>
        </w:tc>
        <w:tc>
          <w:tcPr>
            <w:tcW w:type="dxa" w:w="2556"/>
            <w:vAlign w:val="center"/>
            <w:shd w:fill="F7F9FB"/>
          </w:tcPr>
          <w:p>
            <w:pPr>
              <w:spacing w:after="40"/>
            </w:pPr>
            <w:r/>
            <w:r>
              <w:rPr>
                <w:b w:val="0"/>
                <w:sz w:val="17"/>
              </w:rPr>
              <w:t>Backend → Caller/UI</w:t>
            </w:r>
          </w:p>
        </w:tc>
        <w:tc>
          <w:tcPr>
            <w:tcW w:type="dxa" w:w="2556"/>
            <w:vAlign w:val="center"/>
            <w:shd w:fill="F7F9FB"/>
          </w:tcPr>
          <w:p>
            <w:pPr>
              <w:spacing w:after="40"/>
            </w:pPr>
            <w:r/>
            <w:r>
              <w:rPr>
                <w:b w:val="0"/>
                <w:sz w:val="17"/>
              </w:rPr>
              <w:t>code/message/retryable/stage/recovery 必填；trace 可带 contract_version、request_id、task_id、session_id、audit_id。</w:t>
            </w:r>
          </w:p>
        </w:tc>
      </w:tr>
      <w:tr>
        <w:tc>
          <w:tcPr>
            <w:tcW w:type="dxa" w:w="2556"/>
            <w:vAlign w:val="center"/>
            <w:shd w:fill="FFFFFF"/>
          </w:tcPr>
          <w:p>
            <w:pPr>
              <w:spacing w:after="40"/>
            </w:pPr>
            <w:r/>
            <w:r>
              <w:rPr>
                <w:b w:val="0"/>
                <w:sz w:val="17"/>
              </w:rPr>
              <w:t>Risk Handoff</w:t>
            </w:r>
          </w:p>
        </w:tc>
        <w:tc>
          <w:tcPr>
            <w:tcW w:type="dxa" w:w="2556"/>
            <w:vAlign w:val="center"/>
            <w:shd w:fill="FFFFFF"/>
          </w:tcPr>
          <w:p>
            <w:pPr>
              <w:spacing w:after="40"/>
            </w:pPr>
            <w:r/>
            <w:r>
              <w:rPr>
                <w:b w:val="0"/>
                <w:sz w:val="17"/>
              </w:rPr>
              <w:t>investment-agent.v1 / risk-workbench.bridge@0.1.0</w:t>
            </w:r>
          </w:p>
        </w:tc>
        <w:tc>
          <w:tcPr>
            <w:tcW w:type="dxa" w:w="2556"/>
            <w:vAlign w:val="center"/>
            <w:shd w:fill="FFFFFF"/>
          </w:tcPr>
          <w:p>
            <w:pPr>
              <w:spacing w:after="40"/>
            </w:pPr>
            <w:r/>
            <w:r>
              <w:rPr>
                <w:b w:val="0"/>
                <w:sz w:val="17"/>
              </w:rPr>
              <w:t>Core Agent/Adapter → Risk/UI/人工复核</w:t>
            </w:r>
          </w:p>
        </w:tc>
        <w:tc>
          <w:tcPr>
            <w:tcW w:type="dxa" w:w="2556"/>
            <w:vAlign w:val="center"/>
            <w:shd w:fill="FFFFFF"/>
          </w:tcPr>
          <w:p>
            <w:pPr>
              <w:spacing w:after="40"/>
            </w:pPr>
            <w:r/>
            <w:r>
              <w:rPr>
                <w:b w:val="0"/>
                <w:sz w:val="17"/>
              </w:rPr>
              <w:t>PENDING_REVIEW、decision=REQUIRED、execution_allowed=false 固定；独立 Consumer 与回写待 Risk Owner。</w:t>
            </w:r>
          </w:p>
        </w:tc>
      </w:tr>
      <w:tr>
        <w:tc>
          <w:tcPr>
            <w:tcW w:type="dxa" w:w="2556"/>
            <w:vAlign w:val="center"/>
            <w:shd w:fill="F7F9FB"/>
          </w:tcPr>
          <w:p>
            <w:pPr>
              <w:spacing w:after="40"/>
            </w:pPr>
            <w:r/>
            <w:r>
              <w:rPr>
                <w:b w:val="0"/>
                <w:sz w:val="17"/>
              </w:rPr>
              <w:t>公网 Backend</w:t>
            </w:r>
          </w:p>
        </w:tc>
        <w:tc>
          <w:tcPr>
            <w:tcW w:type="dxa" w:w="2556"/>
            <w:vAlign w:val="center"/>
            <w:shd w:fill="F7F9FB"/>
          </w:tcPr>
          <w:p>
            <w:pPr>
              <w:spacing w:after="40"/>
            </w:pPr>
            <w:r/>
            <w:r>
              <w:rPr>
                <w:b w:val="0"/>
                <w:sz w:val="17"/>
              </w:rPr>
              <w:t>core-agent-to-risk-workbench.demo@0.1.0</w:t>
            </w:r>
          </w:p>
        </w:tc>
        <w:tc>
          <w:tcPr>
            <w:tcW w:type="dxa" w:w="2556"/>
            <w:vAlign w:val="center"/>
            <w:shd w:fill="F7F9FB"/>
          </w:tcPr>
          <w:p>
            <w:pPr>
              <w:spacing w:after="40"/>
            </w:pPr>
            <w:r/>
            <w:r>
              <w:rPr>
                <w:b w:val="0"/>
                <w:sz w:val="17"/>
              </w:rPr>
              <w:t>Cloudflare Worker → UI/Risk bridge</w:t>
            </w:r>
          </w:p>
        </w:tc>
        <w:tc>
          <w:tcPr>
            <w:tcW w:type="dxa" w:w="2556"/>
            <w:vAlign w:val="center"/>
            <w:shd w:fill="F7F9FB"/>
          </w:tcPr>
          <w:p>
            <w:pPr>
              <w:spacing w:after="40"/>
            </w:pPr>
            <w:r/>
            <w:r>
              <w:rPr>
                <w:b w:val="0"/>
                <w:sz w:val="17"/>
              </w:rPr>
              <w:t>API key、演示级限流、错误脱敏已文档化；生产认证与跨实例限流未完成。</w:t>
            </w:r>
          </w:p>
        </w:tc>
      </w:tr>
    </w:tbl>
    <w:p>
      <w:pPr>
        <w:pStyle w:val="Heading1"/>
      </w:pPr>
      <w:r>
        <w:t>B 可验证的集成进度</w:t>
      </w:r>
    </w:p>
    <w:p>
      <w:pPr>
        <w:pStyle w:val="ListBullet"/>
      </w:pPr>
      <w:r>
        <w:t>团队仓库 chenchen：npm run check 通过；npm test 52/52 通过；git diff --check 通过。</w:t>
      </w:r>
    </w:p>
    <w:p>
      <w:pPr>
        <w:pStyle w:val="ListBullet"/>
      </w:pPr>
      <w:r>
        <w:t>个人仓库 chenchen 工作区：npm run check 通过；npm test 54/54 通过；git diff --check 通过。</w:t>
      </w:r>
    </w:p>
    <w:p>
      <w:pPr>
        <w:pStyle w:val="ListBullet"/>
      </w:pPr>
      <w:r>
        <w:t>新增覆盖验证失败任务错误带 task_id/session_id/audit_id，语义检查拒绝断裂引用和伪造授权；Quant 结果保持既有值。</w:t>
      </w:r>
    </w:p>
    <w:p>
      <w:pPr>
        <w:pStyle w:val="ListBullet"/>
      </w:pPr>
      <w:r>
        <w:t>今日未重新运行公网 HTTP Smoke；昨日日报已记录 /health、/、/api/risk-workbench/handoff 返回 200，今日不扩大线上结论。</w:t>
      </w:r>
    </w:p>
    <w:p>
      <w:pPr>
        <w:pStyle w:val="Heading1"/>
      </w:pPr>
      <w:r>
        <w:t>C 需要其他 Owner 配合的阻塞项</w:t>
      </w:r>
    </w:p>
    <w:p>
      <w:pPr>
        <w:pStyle w:val="ListBullet"/>
      </w:pPr>
      <w:r>
        <w:t>Risk Owner：冻结独立 Risk Consumer 接收 Schema、review_status/rejection_reason/decision 回写、audit_id 消费与重试语义。</w:t>
      </w:r>
    </w:p>
    <w:p>
      <w:pPr>
        <w:pStyle w:val="ListBullet"/>
      </w:pPr>
      <w:r>
        <w:t>Backend Owner：统一非 Contract 路由 404/503 ErrorTrace，确认生产认证、持久化审计和跨请求读取语义。</w:t>
      </w:r>
    </w:p>
    <w:p>
      <w:pPr>
        <w:pStyle w:val="ListBullet"/>
      </w:pPr>
      <w:r>
        <w:t>UI Owner：对齐 pending review、失败 trace、retry/recovery 和 execution_allowed=false 展示。</w:t>
      </w:r>
    </w:p>
    <w:p>
      <w:pPr>
        <w:pStyle w:val="ListBullet"/>
      </w:pPr>
      <w:r>
        <w:t>Memory / Quant / Data Owner：确认 audit_evidence 不进入 Memory 长期规则，确认 Quant 版本兼容及市场数据来源、时效、冲突复核协议。</w:t>
      </w:r>
    </w:p>
    <w:p>
      <w:pPr>
        <w:pStyle w:val="Heading1"/>
      </w:pPr>
      <w:r>
        <w:t>下一步</w:t>
      </w:r>
    </w:p>
    <w:p>
      <w:r>
        <w:t>Risk Owner 确认回写 Contract 后补接收/拒绝/重试测试；Backend Owner 决定统一错误追踪与持久化审计版本；UI 对齐错误恢复字段；Data 提供可审计真实市场数据协议后再替换固定夹具。</w:t>
      </w:r>
    </w:p>
    <w:p>
      <w:r>
        <w:t>联调资料：core-agent-architecture.md、core-agent-sequence.md、core-agent-integration-guide-2026-10-10.docx、investment-agent.v1.schema.json。</w:t>
      </w:r>
    </w:p>
    <w:p>
      <w:r>
        <w:br w:type="page"/>
      </w:r>
    </w:p>
    <w:p>
      <w:pPr>
        <w:pStyle w:val="Heading1"/>
      </w:pPr>
      <w:r>
        <w:t>远程分支证据与追踪限制</w:t>
      </w:r>
    </w:p>
    <w:p>
      <w:r>
        <w:t>团队 main 已安全 rebase 到 838b9b2；今日 qiqi 场景、数据及对接提案有业务提交。“无业务代码变更”仅指 main 的 chenchen Core 实现和本日报自动化。个人增强仍是未提交工作区证据。</w:t>
      </w:r>
    </w:p>
    <w:p>
      <w:r>
        <w:t>Risk f232a0f 位于 origin/codex/team-risk-online-demo，UI 6dc3759 位于 origin/codex/risk-ui-integration-recovery，尚未合入 main。Risk 已有只读远程接收、来源回执和审计映射；待 Owner 确认的是正式审核回写、合入与统一 Contract 验收。</w:t>
      </w:r>
    </w:p>
    <w:p>
      <w:r>
        <w:t>Owner 报告 docs/safety-risk-eval/online-demo/remote-core-v8-public.json 留存伪造字段 400、CSRF 403、execution_status=NOT_STARTED。报告是留存证据，本次未复跑公网浏览器。main 执行远程 Risk 专项测试时文件不存在，exit 1，未计为通过。</w:t>
      </w:r>
    </w:p>
    <w:p>
      <w:r>
        <w:t>字段归属：Caller 生产 request_id/context/input；Backend 生产版本/错误信封；Harness 生产 task/session/checkpoint/audit；Tools/Quant 生产工具结果与 artifacts；Risk 消费 evidence，正式 decision 回写待冻结；UI 消费状态，不得修改证据或授权字段。</w:t>
      </w:r>
    </w:p>
    <w:p>
      <w:r>
        <w:t>追踪限制：成功响应关联 request/task/session/version/audit；个人失败路径增强已测试，但未发布到 main。前置 Schema 拒绝时 task/session/audit 可为空，RiskHandoff 无独立 request_id，应保留父 trace；Session/TaskState/AuditEvidence 仍无跨进程恢复。</w:t>
      </w:r>
    </w:p>
    <w:p>
      <w:r>
        <w:t>金融数据测试：固定 2026-10-08/09 夹具回放、重复观察拒绝、REVIEW_REQUIRED 冲突与 Quant 无漂移通过；不代表今日实时行情验证。</w:t>
      </w:r>
    </w:p>
    <w:p>
      <w:r>
        <w:t>DOCX 验收：render_docx.py 缺少 LibreOffice；已改用 WPS/Word PDF 导出与 pypdfium2 逐页视觉检查。QA PDF 只作内部验收，不提交。</w:t>
      </w:r>
    </w:p>
    <w:sectPr w:rsidR="00FC693F" w:rsidRPr="0006063C" w:rsidSect="00034616"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/>
      <w:color w:val="000000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