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第一段：原件字节保持不变。</w:t>
      </w:r>
    </w:p>
    <w:p>
      <w:r>
        <w:t>第二段包含可核对的交付说明。</w:t>
      </w:r>
    </w:p>
    <w:tbl>
      <w:tblPr/>
      <w:tblGrid/>
      <w:tr>
        <w:tc>
          <w:p>
            <w:r>
              <w:t>项目</w:t>
            </w:r>
          </w:p>
        </w:tc>
        <w:tc>
          <w:p>
            <w:r>
              <w:t>数量</w:t>
            </w:r>
          </w:p>
        </w:tc>
      </w:tr>
      <w:tr>
        <w:tc>
          <w:p>
            <w:r>
              <w:t>齿轮箱</w:t>
            </w:r>
          </w:p>
        </w:tc>
        <w:tc>
          <w:p>
            <w:r>
              <w:t>3</w:t>
            </w:r>
          </w:p>
        </w:tc>
      </w:tr>
    </w:tbl>
    <w:sectPr/>
  </w:body>
</w:document>
</file>