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宋体"/>
          <w:b/>
          <w:color w:val="1A56DB"/>
          <w:sz w:val="44"/>
        </w:rPr>
        <w:t>英国在线零售数据分析报告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基于 UCI Online Retail 数据集 | 2010-2011 年度 | RFM + 产品分析框架</w:t>
      </w:r>
    </w:p>
    <w:p/>
    <w:p>
      <w:r>
        <w:rPr>
          <w:rFonts w:ascii="Times New Roman" w:hAnsi="Times New Roman" w:eastAsia="宋体"/>
          <w:b/>
          <w:color w:val="1A56DB"/>
          <w:sz w:val="26"/>
        </w:rPr>
        <w:t>一. 项目背景与数据说明</w:t>
      </w:r>
    </w:p>
    <w:p>
      <w:pPr>
        <w:spacing w:line="360" w:lineRule="auto"/>
        <w:ind w:firstLine="397"/>
      </w:pPr>
      <w:r>
        <w:rPr>
          <w:rFonts w:ascii="Times New Roman" w:hAnsi="Times New Roman" w:eastAsia="宋体"/>
          <w:b w:val="0"/>
          <w:sz w:val="21"/>
        </w:rPr>
        <w:t>数据来源于 UCI Machine Learning Repository 的 Online Retail 公开数据集，记录了 2010 年 12 月 1 日至 2011 年 12 月 9 日一家英国线上零售商的真实交易数据，共计 54.2 万行。该数据集是零售分析领域的经典案例，适用于客户细分、购物篮分析和时间序列分析等场景。</w:t>
      </w:r>
    </w:p>
    <w:p>
      <w:pPr>
        <w:spacing w:line="360" w:lineRule="auto"/>
        <w:ind w:firstLine="397"/>
      </w:pPr>
      <w:r>
        <w:rPr>
          <w:rFonts w:ascii="Times New Roman" w:hAnsi="Times New Roman" w:eastAsia="宋体"/>
          <w:b w:val="0"/>
          <w:sz w:val="21"/>
        </w:rPr>
        <w:t>数据包含八个字段：发票号、商品代码、商品描述、数量、交易时间、单价、客户 ID 和国家。清洗后保留 39.8 万条（73.4%）有效交易记录，剔除了匿名客户（CustomerID 缺失）、退货订单和异常单价记录。数据库部署在阿里云 RDS（MySQL），可视化通过 Tableau Desktop 完成。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有效交易记录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总销售额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有效订单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有效客户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客单价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32"/>
              </w:rPr>
              <w:t>397,884 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32"/>
              </w:rPr>
              <w:t>£ 8,911,408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32"/>
              </w:rPr>
              <w:t>18,532 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32"/>
              </w:rPr>
              <w:t>4,338 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32"/>
              </w:rPr>
              <w:t>£ 481</w:t>
            </w:r>
          </w:p>
        </w:tc>
      </w:tr>
    </w:tbl>
    <w:p/>
    <w:p>
      <w:r>
        <w:rPr>
          <w:rFonts w:ascii="Times New Roman" w:hAnsi="Times New Roman" w:eastAsia="宋体"/>
          <w:b/>
          <w:color w:val="1A56DB"/>
          <w:sz w:val="26"/>
        </w:rPr>
        <w:t>二. 核心分析结论</w:t>
      </w:r>
    </w:p>
    <w:p>
      <w:r>
        <w:rPr>
          <w:rFonts w:ascii="Times New Roman" w:hAnsi="Times New Roman" w:eastAsia="宋体"/>
          <w:b/>
          <w:color w:val="C0392B"/>
          <w:sz w:val="22"/>
        </w:rPr>
        <w:t>▶ 这是一个典型的 B2B 批发业务，而非 B2C 零售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数据支撑：每单平均包含 279 件商品（21.5 个不同品类），单一商品一次平均购买 13 件。客单价 £481，显著高于普通 B2C 零售。客户群体以中小型零售商和批发商为主。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运营建议：业务定位应从「零售」调整为「批发服务」。建议引入阶梯定价、最小起订量（MOQ）、和批量折扣机制，同时在 CRM 中记录客户的企业类型和采购周期。</w:t>
      </w:r>
    </w:p>
    <w:p>
      <w:r>
        <w:rPr>
          <w:rFonts w:ascii="Times New Roman" w:hAnsi="Times New Roman" w:eastAsia="宋体"/>
          <w:b/>
          <w:sz w:val="22"/>
        </w:rPr>
        <w:t>▶ 营收高度集中于英国本土市场，占总额的 82%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数据支撑：英国（United Kingdom）以 £731 万贡献了 82% 的营收。荷兰（£28.5 万，3.2%）和爱尔兰（£26.6 万，3.0%）分列二三名。Top 5 国家合计占 93%。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运营建议：英国本土市场继续作为运营重心。荷兰和爱尔兰作为欧洲市场的试水区域，可评估在当地设立小型仓储以缩短配送时效和降低跨境物流成本。</w:t>
      </w:r>
    </w:p>
    <w:p>
      <w:r>
        <w:rPr>
          <w:rFonts w:ascii="Times New Roman" w:hAnsi="Times New Roman" w:eastAsia="宋体"/>
          <w:b/>
          <w:sz w:val="22"/>
        </w:rPr>
        <w:t>▶ 英国市场的周末交易规律非常显著：周六完全无订单，周日极少交易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数据支撑：工作日（周一至周五）日均在 2,500-3,200 单之间，周六为零，周日订单量不足工作日的 5%。每日交易集中在 9:00-16:00（占全天 92%），17:00 后基本无交易。这与英国仓储物流业周末不作业的行业惯例一致。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运营建议：物流发货和客服团队按周一至周五 9:00-17:00 排班；周末安排库存盘点和系统维护窗口；若未来拓展至欧洲大陆，需提前调研各国周末物流能力。</w:t>
      </w:r>
    </w:p>
    <w:p>
      <w:r>
        <w:rPr>
          <w:rFonts w:ascii="Times New Roman" w:hAnsi="Times New Roman" w:eastAsia="宋体"/>
          <w:b/>
          <w:sz w:val="22"/>
        </w:rPr>
        <w:t>▶ 9-11 月为年度销售旺季，12 月初客单价跳升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数据支撑：11 月是全年营收最高的月份（£116 万，2,657 单），9 月紧随其后（£95 万，1,755 单）。客单价从 1-10 月的 £430-540 跳升至 12 月的 £666，表明客户在圣诞季前集中进行大批量采购。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运营建议：Q3 末（8 月）即应启动旺季备货和库存补充；11 月底至 12 月初推出「圣诞批发套餐」，通过组合商品提高单笔订单金额。</w:t>
      </w:r>
    </w:p>
    <w:p>
      <w:r>
        <w:rPr>
          <w:rFonts w:ascii="Times New Roman" w:hAnsi="Times New Roman" w:eastAsia="宋体"/>
          <w:b/>
          <w:sz w:val="22"/>
        </w:rPr>
        <w:t>▶ 退货率集中于少量商品，应建立退货监控机制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数据支撑：采用 Quantity &lt; 0 口径识别退货记录（比 InvoiceNo C 开头多覆盖 12.6%），退货率排名前 10 的商品需重点关注产品质量和页面描述准确性。</w:t>
      </w:r>
    </w:p>
    <w:p>
      <w:pPr>
        <w:ind w:left="397"/>
      </w:pPr>
      <w:r>
        <w:rPr>
          <w:rFonts w:ascii="Times New Roman" w:hAnsi="Times New Roman" w:eastAsia="宋体"/>
          <w:b w:val="0"/>
          <w:sz w:val="20"/>
        </w:rPr>
        <w:t>运营建议：每月生成退货率 Top 20 商品清单，由运营团队逐一核查原因（质量问题/描述不符/物流破损）；对连续两月退货率超过 5% 的商品触发自动下架审核。</w:t>
      </w:r>
    </w:p>
    <w:p>
      <w:r>
        <w:rPr>
          <w:rFonts w:ascii="Times New Roman" w:hAnsi="Times New Roman" w:eastAsia="宋体"/>
          <w:b/>
          <w:color w:val="1A56DB"/>
          <w:sz w:val="26"/>
        </w:rPr>
        <w:t>三. 分析方法说明</w:t>
      </w:r>
    </w:p>
    <w:p>
      <w:pPr>
        <w:spacing w:line="360" w:lineRule="auto"/>
        <w:ind w:firstLine="397"/>
      </w:pPr>
      <w:r>
        <w:rPr>
          <w:rFonts w:ascii="Times New Roman" w:hAnsi="Times New Roman" w:eastAsia="宋体"/>
          <w:b w:val="0"/>
          <w:sz w:val="21"/>
        </w:rPr>
        <w:t>本项目以 RFM 模型为核心进行客户价值分层。与常规电商分析不同，本数据包含完整的消费金额信息，因此可以对 Recency（最近购买间隔）、Frequency（购买频次）和 Monetary（消费金额）三维度同时切分，生成八类客户画像。</w:t>
      </w:r>
    </w:p>
    <w:p>
      <w:pPr>
        <w:spacing w:line="360" w:lineRule="auto"/>
        <w:ind w:firstLine="397"/>
      </w:pPr>
      <w:r>
        <w:rPr>
          <w:rFonts w:ascii="Times New Roman" w:hAnsi="Times New Roman" w:eastAsia="宋体"/>
          <w:b w:val="0"/>
          <w:sz w:val="21"/>
        </w:rPr>
        <w:t>在时间分析维度，分别从月度、星期和小时三个粒度拆解交易节奏，发现英国市场的周末交易空白和 9:00-16:00 的工作时间集中特征。在产品分析维度，结合销量、营收和退货率三个指标进行交叉评估，识别核心商品和风险商品。购物篮分析层面，通过同一发票号下的商品共现关系，发现高关联度的商品组合。</w:t>
      </w:r>
    </w:p>
    <w:p>
      <w:r>
        <w:rPr>
          <w:rFonts w:ascii="Times New Roman" w:hAnsi="Times New Roman" w:eastAsia="宋体"/>
          <w:b/>
          <w:color w:val="1A56DB"/>
          <w:sz w:val="26"/>
        </w:rPr>
        <w:t>四. 数据质量说明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CustomerID 缺失 13.5 万条（24.9%），推测为匿名批发客户或未注册用户。这些记录在客户维度的分析中已排除，但计入了销售总额的统计。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退货识别采用 Quantity &lt; 0 作为判定标准，较 InvoiceNo C 开头的方法多覆盖约 1,300 条记录，更完整地反映了退货全貌。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异常单价（UnitPrice &lt;= 0）共 2,517 条（0.5%），已从分析中排除。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数据时间跨度为 2010-2011 年，距今较远，分析结论需结合当前业务环境审慎参考。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