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13F" w:rsidRPr="007005EF" w:rsidRDefault="0012513F" w:rsidP="0012513F">
      <w:pPr>
        <w:rPr>
          <w:rFonts w:ascii="Times New Roman" w:hAnsi="Times New Roman" w:cs="Times New Roman"/>
        </w:rPr>
      </w:pPr>
      <w:r w:rsidRPr="007005EF">
        <w:rPr>
          <w:rFonts w:ascii="Times New Roman" w:hAnsi="Times New Roman" w:cs="Times New Roman"/>
          <w:b/>
        </w:rPr>
        <w:t>Supplementary Table 1</w:t>
      </w:r>
    </w:p>
    <w:p w:rsidR="0012513F" w:rsidRPr="007005EF" w:rsidRDefault="0012513F" w:rsidP="0012513F">
      <w:pPr>
        <w:spacing w:line="360" w:lineRule="auto"/>
        <w:rPr>
          <w:rFonts w:ascii="Times New Roman" w:hAnsi="Times New Roman" w:cs="Times New Roman"/>
        </w:rPr>
      </w:pPr>
      <w:r w:rsidRPr="007005EF">
        <w:rPr>
          <w:rFonts w:ascii="Times New Roman" w:hAnsi="Times New Roman" w:cs="Times New Roman"/>
        </w:rPr>
        <w:t xml:space="preserve">Angular separation in </w:t>
      </w:r>
      <w:r w:rsidRPr="007005EF">
        <w:rPr>
          <w:rFonts w:ascii="Times New Roman" w:hAnsi="Times New Roman" w:cs="Times New Roman"/>
        </w:rPr>
        <w:sym w:font="Symbol" w:char="F0B0"/>
      </w:r>
      <w:r w:rsidRPr="007005EF">
        <w:rPr>
          <w:rFonts w:ascii="Times New Roman" w:hAnsi="Times New Roman" w:cs="Times New Roman"/>
        </w:rPr>
        <w:t xml:space="preserve"> for each combination of appendages at four time</w:t>
      </w:r>
      <w:r>
        <w:rPr>
          <w:rFonts w:ascii="Times New Roman" w:hAnsi="Times New Roman" w:cs="Times New Roman"/>
        </w:rPr>
        <w:t xml:space="preserve"> points (</w:t>
      </w:r>
      <w:r w:rsidRPr="007005EF">
        <w:rPr>
          <w:rFonts w:ascii="Times New Roman" w:hAnsi="Times New Roman" w:cs="Times New Roman"/>
        </w:rPr>
        <w:t>start of power stroke (PS), mid power stroke (MPS), start of recovery stroke (RS</w:t>
      </w:r>
      <w:r>
        <w:rPr>
          <w:rFonts w:ascii="Times New Roman" w:hAnsi="Times New Roman" w:cs="Times New Roman"/>
        </w:rPr>
        <w:t>), and mid recovery stroke (MRS)</w:t>
      </w:r>
      <w:r w:rsidRPr="007005EF">
        <w:rPr>
          <w:rFonts w:ascii="Times New Roman" w:hAnsi="Times New Roman" w:cs="Times New Roman"/>
        </w:rPr>
        <w:t xml:space="preserve"> for both treatment groups, controls and amputees. These values were computed by subtracting the limb beat angle of the second limb listed from the first.  </w:t>
      </w:r>
    </w:p>
    <w:tbl>
      <w:tblPr>
        <w:tblStyle w:val="TableGrid"/>
        <w:tblW w:w="7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1284"/>
        <w:gridCol w:w="2218"/>
        <w:gridCol w:w="2226"/>
      </w:tblGrid>
      <w:tr w:rsidR="0012513F" w:rsidRPr="007005EF" w:rsidTr="00475E9C">
        <w:tc>
          <w:tcPr>
            <w:tcW w:w="1925" w:type="dxa"/>
            <w:tcBorders>
              <w:top w:val="single" w:sz="4" w:space="0" w:color="auto"/>
              <w:bottom w:val="single" w:sz="4" w:space="0" w:color="auto"/>
            </w:tcBorders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Appendage Pair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Time Point</w:t>
            </w:r>
          </w:p>
        </w:tc>
        <w:tc>
          <w:tcPr>
            <w:tcW w:w="2218" w:type="dxa"/>
            <w:tcBorders>
              <w:top w:val="single" w:sz="4" w:space="0" w:color="auto"/>
              <w:bottom w:val="single" w:sz="4" w:space="0" w:color="auto"/>
            </w:tcBorders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Control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7005EF">
              <w:rPr>
                <w:rFonts w:ascii="Times New Roman" w:hAnsi="Times New Roman" w:cs="Times New Roman"/>
                <w:i/>
                <w:iCs/>
                <w:vertAlign w:val="subscript"/>
              </w:rPr>
              <w:t xml:space="preserve"> c </w:t>
            </w:r>
            <w:r w:rsidRPr="007005EF">
              <w:rPr>
                <w:rFonts w:ascii="Times New Roman" w:hAnsi="Times New Roman" w:cs="Times New Roman"/>
              </w:rPr>
              <w:t>± SD)</w:t>
            </w:r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Amputated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oMath>
            <w:r w:rsidRPr="007005EF">
              <w:rPr>
                <w:rFonts w:ascii="Times New Roman" w:hAnsi="Times New Roman" w:cs="Times New Roman"/>
                <w:i/>
                <w:iCs/>
                <w:vertAlign w:val="subscript"/>
              </w:rPr>
              <w:t xml:space="preserve"> a </w:t>
            </w:r>
            <w:r w:rsidRPr="007005EF">
              <w:rPr>
                <w:rFonts w:ascii="Times New Roman" w:hAnsi="Times New Roman" w:cs="Times New Roman"/>
              </w:rPr>
              <w:t>± SD)</w:t>
            </w:r>
          </w:p>
        </w:tc>
      </w:tr>
      <w:tr w:rsidR="0012513F" w:rsidRPr="007005EF" w:rsidTr="00475E9C">
        <w:tc>
          <w:tcPr>
            <w:tcW w:w="1925" w:type="dxa"/>
            <w:vMerge w:val="restart"/>
            <w:tcBorders>
              <w:top w:val="single" w:sz="4" w:space="0" w:color="auto"/>
            </w:tcBorders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Left antennule and antenna</w:t>
            </w:r>
          </w:p>
        </w:tc>
        <w:tc>
          <w:tcPr>
            <w:tcW w:w="1284" w:type="dxa"/>
            <w:tcBorders>
              <w:top w:val="single" w:sz="4" w:space="0" w:color="auto"/>
            </w:tcBorders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MPS</w:t>
            </w:r>
          </w:p>
        </w:tc>
        <w:tc>
          <w:tcPr>
            <w:tcW w:w="2218" w:type="dxa"/>
            <w:tcBorders>
              <w:top w:val="single" w:sz="4" w:space="0" w:color="auto"/>
            </w:tcBorders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40.2±</w:t>
            </w:r>
            <w:r w:rsidRPr="007005EF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16.8</w:t>
            </w:r>
          </w:p>
        </w:tc>
        <w:tc>
          <w:tcPr>
            <w:tcW w:w="2226" w:type="dxa"/>
            <w:tcBorders>
              <w:top w:val="single" w:sz="4" w:space="0" w:color="auto"/>
            </w:tcBorders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68.2±29.1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82.2±3.65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104±17.5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tabs>
                <w:tab w:val="center" w:pos="1060"/>
              </w:tabs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38.6±13.5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60.7±23.4</w:t>
            </w:r>
          </w:p>
        </w:tc>
      </w:tr>
      <w:tr w:rsidR="0012513F" w:rsidRPr="007005EF" w:rsidTr="00475E9C">
        <w:tc>
          <w:tcPr>
            <w:tcW w:w="1925" w:type="dxa"/>
            <w:vMerge w:val="restart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Right antennule and antenna</w:t>
            </w: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39.7±14.9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64.1±28.6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82.3±15.7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110±28.0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35.4±13.8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65.9±25.0</w:t>
            </w:r>
          </w:p>
        </w:tc>
      </w:tr>
      <w:tr w:rsidR="0012513F" w:rsidRPr="007005EF" w:rsidTr="00475E9C">
        <w:tc>
          <w:tcPr>
            <w:tcW w:w="1925" w:type="dxa"/>
            <w:vMerge w:val="restart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Left antennule and mandible</w:t>
            </w: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18.4±8.16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119±23.0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16.8±9.01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117±25.1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18.7±5.15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100±23.1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15.1±10.0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119±20.9</w:t>
            </w:r>
          </w:p>
        </w:tc>
      </w:tr>
      <w:tr w:rsidR="0012513F" w:rsidRPr="007005EF" w:rsidTr="00475E9C">
        <w:tc>
          <w:tcPr>
            <w:tcW w:w="1925" w:type="dxa"/>
            <w:vMerge w:val="restart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Right antennule and mandible</w:t>
            </w: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13.4±6.59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122±25.6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8.91±10.4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123±25.6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14.0±9.11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106±25.1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9.03±9.48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128±15.8</w:t>
            </w:r>
          </w:p>
        </w:tc>
      </w:tr>
      <w:tr w:rsidR="0012513F" w:rsidRPr="007005EF" w:rsidTr="00475E9C">
        <w:tc>
          <w:tcPr>
            <w:tcW w:w="1925" w:type="dxa"/>
            <w:vMerge w:val="restart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Left antenna and mandible</w:t>
            </w: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6.47±11.9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101±10.0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-23.3±16.4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49.2±24.5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-63.5±5.85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-3.41±29.4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-23.5±12.8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58.9±24.5</w:t>
            </w:r>
          </w:p>
        </w:tc>
      </w:tr>
      <w:tr w:rsidR="0012513F" w:rsidRPr="007005EF" w:rsidTr="00475E9C">
        <w:tc>
          <w:tcPr>
            <w:tcW w:w="1925" w:type="dxa"/>
            <w:vMerge w:val="restart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Right antenna and mandible</w:t>
            </w: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3.60±6.71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108±12.2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MPS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-30.8±13.1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59.2±22.7</w:t>
            </w:r>
          </w:p>
        </w:tc>
      </w:tr>
      <w:tr w:rsidR="0012513F" w:rsidRPr="007005EF" w:rsidTr="00475E9C">
        <w:tc>
          <w:tcPr>
            <w:tcW w:w="1925" w:type="dxa"/>
            <w:vMerge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RS</w:t>
            </w:r>
          </w:p>
        </w:tc>
        <w:tc>
          <w:tcPr>
            <w:tcW w:w="2218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-68.3±10.5</w:t>
            </w:r>
          </w:p>
        </w:tc>
        <w:tc>
          <w:tcPr>
            <w:tcW w:w="2226" w:type="dxa"/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-3.98±23.1</w:t>
            </w:r>
          </w:p>
        </w:tc>
      </w:tr>
      <w:tr w:rsidR="0012513F" w:rsidRPr="007005EF" w:rsidTr="00475E9C">
        <w:tc>
          <w:tcPr>
            <w:tcW w:w="1925" w:type="dxa"/>
            <w:vMerge/>
            <w:tcBorders>
              <w:bottom w:val="single" w:sz="4" w:space="0" w:color="auto"/>
            </w:tcBorders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12513F" w:rsidRPr="007005EF" w:rsidRDefault="0012513F" w:rsidP="00475E9C">
            <w:pPr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MRS</w:t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-26.4±14.1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:rsidR="0012513F" w:rsidRPr="007005EF" w:rsidRDefault="0012513F" w:rsidP="00475E9C">
            <w:pPr>
              <w:jc w:val="center"/>
              <w:rPr>
                <w:rFonts w:ascii="Times New Roman" w:hAnsi="Times New Roman" w:cs="Times New Roman"/>
              </w:rPr>
            </w:pPr>
            <w:r w:rsidRPr="007005EF">
              <w:rPr>
                <w:rFonts w:ascii="Times New Roman" w:hAnsi="Times New Roman" w:cs="Times New Roman"/>
              </w:rPr>
              <w:t>62.1±15.3</w:t>
            </w:r>
          </w:p>
        </w:tc>
      </w:tr>
    </w:tbl>
    <w:p w:rsidR="0012513F" w:rsidRPr="007005EF" w:rsidRDefault="0012513F" w:rsidP="0012513F">
      <w:bookmarkStart w:id="0" w:name="_GoBack"/>
      <w:r w:rsidRPr="007005EF">
        <w:br w:type="page"/>
      </w:r>
    </w:p>
    <w:bookmarkEnd w:id="0"/>
    <w:p w:rsidR="0012513F" w:rsidRPr="007005EF" w:rsidRDefault="0012513F" w:rsidP="0012513F">
      <w:pPr>
        <w:spacing w:line="360" w:lineRule="auto"/>
        <w:rPr>
          <w:rFonts w:ascii="Times New Roman" w:hAnsi="Times New Roman" w:cs="Times New Roman"/>
        </w:rPr>
      </w:pPr>
      <w:r w:rsidRPr="007005EF">
        <w:rPr>
          <w:rFonts w:ascii="Times New Roman" w:hAnsi="Times New Roman" w:cs="Times New Roman"/>
          <w:b/>
          <w:bCs/>
        </w:rPr>
        <w:lastRenderedPageBreak/>
        <w:t>Supplementary Figure 1</w:t>
      </w:r>
      <w:r w:rsidRPr="007005EF">
        <w:rPr>
          <w:rFonts w:ascii="Times New Roman" w:hAnsi="Times New Roman" w:cs="Times New Roman"/>
          <w:b/>
          <w:bCs/>
        </w:rPr>
        <w:br/>
      </w:r>
      <w:r w:rsidRPr="007005EF">
        <w:rPr>
          <w:rFonts w:ascii="Times New Roman" w:hAnsi="Times New Roman" w:cs="Times New Roman"/>
        </w:rPr>
        <w:t xml:space="preserve">Flexion angle on the left antennule for control (A, E, I, M) and amputated </w:t>
      </w:r>
      <w:r w:rsidRPr="007005EF">
        <w:rPr>
          <w:rFonts w:ascii="Times New Roman" w:hAnsi="Times New Roman" w:cs="Times New Roman"/>
          <w:i/>
        </w:rPr>
        <w:t>Ocotolasmis warwicki</w:t>
      </w:r>
      <w:r w:rsidRPr="007005EF">
        <w:rPr>
          <w:rFonts w:ascii="Times New Roman" w:hAnsi="Times New Roman" w:cs="Times New Roman"/>
        </w:rPr>
        <w:t xml:space="preserve"> nauplii </w:t>
      </w:r>
      <w:r w:rsidRPr="007005EF">
        <w:rPr>
          <w:rFonts w:ascii="Times New Roman" w:hAnsi="Times New Roman" w:cs="Times New Roman"/>
          <w:bCs/>
        </w:rPr>
        <w:t>(B, F, J, N)</w:t>
      </w:r>
      <w:r w:rsidRPr="007005EF">
        <w:rPr>
          <w:rFonts w:ascii="Times New Roman" w:hAnsi="Times New Roman" w:cs="Times New Roman"/>
        </w:rPr>
        <w:t xml:space="preserve"> through a stroke cycle. Boxplots shows the population mean (n = 9 for control and 10 for amputee) for flexion angle </w:t>
      </w:r>
      <w:r w:rsidRPr="007005EF">
        <w:rPr>
          <w:rFonts w:ascii="Times New Roman" w:hAnsi="Times New Roman" w:cs="Times New Roman"/>
          <w:bCs/>
        </w:rPr>
        <w:t>(C, G, K, O)</w:t>
      </w:r>
      <w:r w:rsidRPr="007005EF">
        <w:rPr>
          <w:rFonts w:ascii="Times New Roman" w:hAnsi="Times New Roman" w:cs="Times New Roman"/>
          <w:b/>
        </w:rPr>
        <w:t xml:space="preserve"> </w:t>
      </w:r>
      <w:r w:rsidRPr="007005EF">
        <w:rPr>
          <w:rFonts w:ascii="Times New Roman" w:hAnsi="Times New Roman" w:cs="Times New Roman"/>
        </w:rPr>
        <w:t xml:space="preserve">and inflection ratio </w:t>
      </w:r>
      <w:r w:rsidRPr="007005EF">
        <w:rPr>
          <w:rFonts w:ascii="Times New Roman" w:hAnsi="Times New Roman" w:cs="Times New Roman"/>
          <w:bCs/>
        </w:rPr>
        <w:t>(D, H, L, P)</w:t>
      </w:r>
      <w:r w:rsidRPr="007005EF">
        <w:rPr>
          <w:rFonts w:ascii="Times New Roman" w:hAnsi="Times New Roman" w:cs="Times New Roman"/>
          <w:b/>
        </w:rPr>
        <w:t xml:space="preserve"> </w:t>
      </w:r>
      <w:r w:rsidRPr="007005EF">
        <w:rPr>
          <w:rFonts w:ascii="Times New Roman" w:hAnsi="Times New Roman" w:cs="Times New Roman"/>
        </w:rPr>
        <w:t>at the corresponding time point of the stroke cycle. The four rows from the top to bottom correspond to the start of power stroke (A-D), mid power stroke(E-H), start of recovery stroke (I-L) and mid recovery stroke (M-P). Each box represents the 1</w:t>
      </w:r>
      <w:r w:rsidRPr="007005EF">
        <w:rPr>
          <w:rFonts w:ascii="Times New Roman" w:hAnsi="Times New Roman" w:cs="Times New Roman"/>
          <w:vertAlign w:val="superscript"/>
        </w:rPr>
        <w:t>st</w:t>
      </w:r>
      <w:r w:rsidRPr="007005EF">
        <w:rPr>
          <w:rFonts w:ascii="Times New Roman" w:hAnsi="Times New Roman" w:cs="Times New Roman"/>
        </w:rPr>
        <w:t xml:space="preserve"> and 3</w:t>
      </w:r>
      <w:r w:rsidRPr="007005EF">
        <w:rPr>
          <w:rFonts w:ascii="Times New Roman" w:hAnsi="Times New Roman" w:cs="Times New Roman"/>
          <w:vertAlign w:val="superscript"/>
        </w:rPr>
        <w:t>rd</w:t>
      </w:r>
      <w:r w:rsidRPr="007005EF">
        <w:rPr>
          <w:rFonts w:ascii="Times New Roman" w:hAnsi="Times New Roman" w:cs="Times New Roman"/>
        </w:rPr>
        <w:t xml:space="preserve"> quartiles with maximum and minimum values represented by extended lines perpendicular to the box. Mean value is represented by the line within each box. * denotes </w:t>
      </w:r>
      <w:r w:rsidRPr="007005EF">
        <w:rPr>
          <w:rFonts w:ascii="Times New Roman" w:hAnsi="Times New Roman" w:cs="Times New Roman"/>
          <w:i/>
        </w:rPr>
        <w:t>p</w:t>
      </w:r>
      <w:r w:rsidRPr="007005EF">
        <w:rPr>
          <w:rFonts w:ascii="Times New Roman" w:hAnsi="Times New Roman" w:cs="Times New Roman"/>
        </w:rPr>
        <w:t xml:space="preserve"> &lt;0.05, *** denotes </w:t>
      </w:r>
      <w:r w:rsidRPr="007005EF">
        <w:rPr>
          <w:rFonts w:ascii="Times New Roman" w:hAnsi="Times New Roman" w:cs="Times New Roman"/>
          <w:i/>
        </w:rPr>
        <w:t xml:space="preserve">p </w:t>
      </w:r>
      <w:r w:rsidRPr="007005EF">
        <w:rPr>
          <w:rFonts w:ascii="Times New Roman" w:hAnsi="Times New Roman" w:cs="Times New Roman"/>
        </w:rPr>
        <w:t xml:space="preserve">&lt;0.0001. </w:t>
      </w:r>
    </w:p>
    <w:p w:rsidR="0012513F" w:rsidRPr="007005EF" w:rsidRDefault="0012513F" w:rsidP="001251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1EFE692" wp14:editId="3B6D383F">
            <wp:extent cx="5943600" cy="5603240"/>
            <wp:effectExtent l="0" t="0" r="0" b="0"/>
            <wp:docPr id="16" name="Picture 1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8B" w:rsidRDefault="00DC1E8B"/>
    <w:sectPr w:rsidR="00DC1E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9FB" w:rsidRDefault="002109FB" w:rsidP="0012513F">
      <w:pPr>
        <w:spacing w:after="0" w:line="240" w:lineRule="auto"/>
      </w:pPr>
      <w:r>
        <w:separator/>
      </w:r>
    </w:p>
  </w:endnote>
  <w:endnote w:type="continuationSeparator" w:id="0">
    <w:p w:rsidR="002109FB" w:rsidRDefault="002109FB" w:rsidP="00125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13F" w:rsidRDefault="00125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5538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2513F" w:rsidRDefault="0012513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513F" w:rsidRDefault="001251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13F" w:rsidRDefault="00125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9FB" w:rsidRDefault="002109FB" w:rsidP="0012513F">
      <w:pPr>
        <w:spacing w:after="0" w:line="240" w:lineRule="auto"/>
      </w:pPr>
      <w:r>
        <w:separator/>
      </w:r>
    </w:p>
  </w:footnote>
  <w:footnote w:type="continuationSeparator" w:id="0">
    <w:p w:rsidR="002109FB" w:rsidRDefault="002109FB" w:rsidP="00125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13F" w:rsidRDefault="00125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13F" w:rsidRDefault="001251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13F" w:rsidRDefault="001251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3F"/>
    <w:rsid w:val="0012513F"/>
    <w:rsid w:val="002109FB"/>
    <w:rsid w:val="00DC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91A3E-F5EE-4144-8455-8A0D1C38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3F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13F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3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25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3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Swarthmore College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Chan</dc:creator>
  <cp:keywords/>
  <dc:description/>
  <cp:lastModifiedBy>Karen Chan</cp:lastModifiedBy>
  <cp:revision>1</cp:revision>
  <dcterms:created xsi:type="dcterms:W3CDTF">2021-04-20T21:33:00Z</dcterms:created>
  <dcterms:modified xsi:type="dcterms:W3CDTF">2021-04-20T21:33:00Z</dcterms:modified>
</cp:coreProperties>
</file>