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E2D6F"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临电巡检 小程序第十二条，待确认问题回复如下：</w:t>
      </w:r>
    </w:p>
    <w:p w14:paraId="27130A8D">
      <w:r>
        <w:drawing>
          <wp:inline distT="0" distB="0" distL="114300" distR="114300">
            <wp:extent cx="5272405" cy="3729355"/>
            <wp:effectExtent l="0" t="0" r="63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9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临电巡检待确认问题回复如下：</w:t>
      </w:r>
    </w:p>
    <w:p w14:paraId="16F92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1.外部检查扫码后查看巡检汇总允许免登录</w:t>
      </w:r>
    </w:p>
    <w:p w14:paraId="62588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2.免登录查看只展示最终的巡检表格内容</w:t>
      </w:r>
    </w:p>
    <w:p w14:paraId="2D87C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3.电箱编号规则由项目部统一制定，一般为DX-001</w:t>
      </w:r>
    </w:p>
    <w:p w14:paraId="5B3DB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4.二维码由系统生成后打印；</w:t>
      </w:r>
    </w:p>
    <w:p w14:paraId="1D59F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5.电工必须是系统用户</w:t>
      </w:r>
    </w:p>
    <w:p w14:paraId="1A96E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6.小型项目一般是1-2个电工管理现场所有电箱，大型项目一般是3-4个电工管理所有现场电箱。</w:t>
      </w:r>
    </w:p>
    <w:p w14:paraId="6A4A3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7.安全员复核必须每日完成，安全员只需复核所有电箱是否巡检，或者说复核哪些电箱没有巡检。</w:t>
      </w:r>
    </w:p>
    <w:p w14:paraId="16E7D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8.电工一般是每日必须巡检所有电箱，（是否允许补录还需要讨论）</w:t>
      </w:r>
    </w:p>
    <w:p w14:paraId="3740A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9.项目部电箱整改默认立即整改，持续时间一般为1天左右。</w:t>
      </w:r>
    </w:p>
    <w:p w14:paraId="59D0C05D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br w:type="page"/>
      </w:r>
    </w:p>
    <w:p w14:paraId="4EE6835F">
      <w:pPr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项目管理平台需求</w:t>
      </w:r>
    </w:p>
    <w:p w14:paraId="24654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一、图纸收发流程</w:t>
      </w:r>
    </w:p>
    <w:p w14:paraId="0B27F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1.主要是针对项目部收到设计院发来的图纸（蓝图）根据各个专业及工程内容，发给对应的班组长/专业分包单位等。</w:t>
      </w:r>
    </w:p>
    <w:p w14:paraId="54736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2.由项目技术员/项目总工通知各班组/各专业单位来领图纸。</w:t>
      </w:r>
    </w:p>
    <w:p w14:paraId="51821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3.各班组/各专业单位领到图纸后在图纸收发记录上面签字。</w:t>
      </w:r>
    </w:p>
    <w:p w14:paraId="6D89A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4.最终的图纸收发表格如下：</w:t>
      </w:r>
    </w:p>
    <w:p w14:paraId="2FEFD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</w:pPr>
      <w:r>
        <w:drawing>
          <wp:inline distT="0" distB="0" distL="114300" distR="114300">
            <wp:extent cx="5271135" cy="6459220"/>
            <wp:effectExtent l="0" t="0" r="19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5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D83E4">
      <w:pPr>
        <w:spacing w:line="360" w:lineRule="exact"/>
        <w:jc w:val="center"/>
        <w:rPr>
          <w:rFonts w:hint="eastAsia" w:ascii="黑体" w:hAnsi="宋体" w:eastAsia="黑体"/>
          <w:bCs/>
        </w:rPr>
      </w:pPr>
    </w:p>
    <w:p w14:paraId="1C69C0E9">
      <w:pPr>
        <w:spacing w:line="360" w:lineRule="exact"/>
        <w:jc w:val="center"/>
        <w:rPr>
          <w:rFonts w:hint="eastAsia" w:ascii="黑体" w:hAnsi="宋体" w:eastAsia="黑体"/>
          <w:bCs/>
        </w:rPr>
      </w:pPr>
      <w:r>
        <w:rPr>
          <w:rFonts w:hint="eastAsia" w:ascii="黑体" w:hAnsi="宋体" w:eastAsia="黑体"/>
          <w:bCs/>
        </w:rPr>
        <w:t>附录F</w:t>
      </w:r>
    </w:p>
    <w:p w14:paraId="201A6085">
      <w:pPr>
        <w:spacing w:line="300" w:lineRule="exact"/>
        <w:jc w:val="center"/>
        <w:rPr>
          <w:rFonts w:hint="eastAsia" w:ascii="黑体" w:hAnsi="宋体" w:eastAsia="黑体"/>
          <w:bCs/>
        </w:rPr>
      </w:pPr>
      <w:r>
        <w:rPr>
          <w:rFonts w:hint="eastAsia" w:ascii="黑体" w:hAnsi="宋体" w:eastAsia="黑体"/>
          <w:bCs/>
        </w:rPr>
        <w:t>（资料性附录）</w:t>
      </w:r>
    </w:p>
    <w:p w14:paraId="2EF598CC">
      <w:pPr>
        <w:spacing w:line="300" w:lineRule="exact"/>
        <w:jc w:val="center"/>
        <w:rPr>
          <w:rFonts w:ascii="黑体" w:hAnsi="宋体" w:eastAsia="黑体"/>
          <w:bCs/>
        </w:rPr>
      </w:pPr>
      <w:r>
        <w:rPr>
          <w:rFonts w:hint="eastAsia" w:ascii="黑体" w:hAnsi="宋体" w:eastAsia="黑体"/>
          <w:bCs/>
        </w:rPr>
        <w:t>工程图纸收发登记簿</w:t>
      </w:r>
    </w:p>
    <w:p w14:paraId="1EF392B8">
      <w:pPr>
        <w:spacing w:after="120" w:line="300" w:lineRule="exact"/>
        <w:rPr>
          <w:rFonts w:ascii="宋体" w:hAnsi="宋体"/>
        </w:rPr>
      </w:pPr>
      <w:r>
        <w:rPr>
          <w:rFonts w:ascii="宋体" w:hAnsi="宋体"/>
        </w:rPr>
        <w:t xml:space="preserve">                                            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            </w:t>
      </w:r>
      <w:r>
        <w:rPr>
          <w:rFonts w:hint="eastAsia" w:ascii="宋体" w:hAnsi="宋体"/>
        </w:rPr>
        <w:t xml:space="preserve">     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编号：</w:t>
      </w:r>
    </w:p>
    <w:tbl>
      <w:tblPr>
        <w:tblStyle w:val="2"/>
        <w:tblW w:w="0" w:type="auto"/>
        <w:tblInd w:w="10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318"/>
        <w:gridCol w:w="2880"/>
        <w:gridCol w:w="425"/>
        <w:gridCol w:w="454"/>
        <w:gridCol w:w="1474"/>
        <w:gridCol w:w="425"/>
        <w:gridCol w:w="425"/>
        <w:gridCol w:w="1191"/>
        <w:gridCol w:w="1588"/>
      </w:tblGrid>
      <w:tr w14:paraId="6DE4B3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cantSplit/>
          <w:trHeight w:val="480" w:hRule="atLeast"/>
        </w:trPr>
        <w:tc>
          <w:tcPr>
            <w:tcW w:w="318" w:type="dxa"/>
            <w:vMerge w:val="restart"/>
            <w:vAlign w:val="center"/>
          </w:tcPr>
          <w:p w14:paraId="015050B3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收</w:t>
            </w:r>
          </w:p>
          <w:p w14:paraId="01348AD2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57BE38B6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379279B7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095439AD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7F354D4D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3AE390AA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图</w:t>
            </w:r>
          </w:p>
          <w:p w14:paraId="47318FD1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53671865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351FC1DE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1E5D400F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7A6F5431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1BFDC65A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登</w:t>
            </w:r>
          </w:p>
          <w:p w14:paraId="71AF298F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67DA3BFF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3A3C98F4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41C49106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2CFC587D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67DB8DEC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记</w:t>
            </w:r>
          </w:p>
        </w:tc>
        <w:tc>
          <w:tcPr>
            <w:tcW w:w="2880" w:type="dxa"/>
            <w:tcBorders>
              <w:right w:val="single" w:color="auto" w:sz="6" w:space="0"/>
            </w:tcBorders>
            <w:vAlign w:val="center"/>
          </w:tcPr>
          <w:p w14:paraId="6CE080C1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收图日期：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hint="eastAsia" w:ascii="宋体" w:hAnsi="宋体"/>
              </w:rPr>
              <w:t>年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月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日</w:t>
            </w:r>
          </w:p>
        </w:tc>
        <w:tc>
          <w:tcPr>
            <w:tcW w:w="425" w:type="dxa"/>
            <w:vMerge w:val="restart"/>
            <w:tcBorders>
              <w:left w:val="single" w:color="auto" w:sz="6" w:space="0"/>
            </w:tcBorders>
            <w:vAlign w:val="center"/>
          </w:tcPr>
          <w:p w14:paraId="7BB86D23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</w:t>
            </w:r>
          </w:p>
          <w:p w14:paraId="6D3FCFD3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4414B216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6900C723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5DE47F0D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21EB00CC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4F8A5B3D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送</w:t>
            </w:r>
          </w:p>
          <w:p w14:paraId="09DB17CB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352C780D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06065222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3B8999CD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28DE10D6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6A38A088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登</w:t>
            </w:r>
          </w:p>
          <w:p w14:paraId="1973637D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7ABC8354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2D073450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086EB237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19B79098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3232DBEE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记</w:t>
            </w:r>
          </w:p>
        </w:tc>
        <w:tc>
          <w:tcPr>
            <w:tcW w:w="454" w:type="dxa"/>
            <w:vAlign w:val="center"/>
          </w:tcPr>
          <w:p w14:paraId="642C0297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076C3F7D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序</w:t>
            </w:r>
          </w:p>
          <w:p w14:paraId="5ECC4FB6">
            <w:pPr>
              <w:spacing w:line="24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474" w:type="dxa"/>
            <w:vAlign w:val="center"/>
          </w:tcPr>
          <w:p w14:paraId="5F1AE6E3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单位或部门</w:t>
            </w:r>
          </w:p>
        </w:tc>
        <w:tc>
          <w:tcPr>
            <w:tcW w:w="425" w:type="dxa"/>
            <w:vAlign w:val="center"/>
          </w:tcPr>
          <w:p w14:paraId="26187047">
            <w:pPr>
              <w:spacing w:line="26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套</w:t>
            </w:r>
          </w:p>
        </w:tc>
        <w:tc>
          <w:tcPr>
            <w:tcW w:w="425" w:type="dxa"/>
            <w:vAlign w:val="center"/>
          </w:tcPr>
          <w:p w14:paraId="12981728">
            <w:pPr>
              <w:spacing w:line="26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张</w:t>
            </w:r>
          </w:p>
        </w:tc>
        <w:tc>
          <w:tcPr>
            <w:tcW w:w="1191" w:type="dxa"/>
            <w:vAlign w:val="center"/>
          </w:tcPr>
          <w:p w14:paraId="6FBD1852">
            <w:pPr>
              <w:spacing w:line="26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转发日期</w:t>
            </w:r>
          </w:p>
        </w:tc>
        <w:tc>
          <w:tcPr>
            <w:tcW w:w="1588" w:type="dxa"/>
            <w:vAlign w:val="center"/>
          </w:tcPr>
          <w:p w14:paraId="445AE3DF">
            <w:pPr>
              <w:spacing w:line="26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签收</w:t>
            </w:r>
          </w:p>
        </w:tc>
      </w:tr>
      <w:tr w14:paraId="7463A7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cantSplit/>
          <w:trHeight w:val="480" w:hRule="atLeast"/>
        </w:trPr>
        <w:tc>
          <w:tcPr>
            <w:tcW w:w="318" w:type="dxa"/>
            <w:vMerge w:val="continue"/>
            <w:vAlign w:val="center"/>
          </w:tcPr>
          <w:p w14:paraId="79B43B20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2880" w:type="dxa"/>
            <w:tcBorders>
              <w:right w:val="single" w:color="auto" w:sz="6" w:space="0"/>
            </w:tcBorders>
            <w:vAlign w:val="center"/>
          </w:tcPr>
          <w:p w14:paraId="124D2DF1">
            <w:pPr>
              <w:spacing w:line="24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出图单位：</w:t>
            </w:r>
          </w:p>
        </w:tc>
        <w:tc>
          <w:tcPr>
            <w:tcW w:w="425" w:type="dxa"/>
            <w:vMerge w:val="continue"/>
            <w:tcBorders>
              <w:left w:val="single" w:color="auto" w:sz="6" w:space="0"/>
            </w:tcBorders>
            <w:vAlign w:val="center"/>
          </w:tcPr>
          <w:p w14:paraId="35E83F02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54" w:type="dxa"/>
            <w:vAlign w:val="center"/>
          </w:tcPr>
          <w:p w14:paraId="29C5FC01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2B6188C2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</w:t>
            </w:r>
          </w:p>
          <w:p w14:paraId="57C83E83">
            <w:pPr>
              <w:spacing w:line="24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474" w:type="dxa"/>
            <w:vAlign w:val="center"/>
          </w:tcPr>
          <w:p w14:paraId="3812FEBB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4BC32F4A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19F9FE2E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191" w:type="dxa"/>
            <w:vAlign w:val="center"/>
          </w:tcPr>
          <w:p w14:paraId="2698EB73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588" w:type="dxa"/>
            <w:vAlign w:val="center"/>
          </w:tcPr>
          <w:p w14:paraId="538D7238">
            <w:pPr>
              <w:spacing w:line="260" w:lineRule="exact"/>
              <w:rPr>
                <w:rFonts w:ascii="宋体" w:hAnsi="宋体"/>
              </w:rPr>
            </w:pPr>
          </w:p>
        </w:tc>
      </w:tr>
      <w:tr w14:paraId="481C24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cantSplit/>
          <w:trHeight w:val="480" w:hRule="atLeast"/>
        </w:trPr>
        <w:tc>
          <w:tcPr>
            <w:tcW w:w="318" w:type="dxa"/>
            <w:vMerge w:val="continue"/>
            <w:vAlign w:val="center"/>
          </w:tcPr>
          <w:p w14:paraId="2E12866E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2880" w:type="dxa"/>
            <w:tcBorders>
              <w:right w:val="single" w:color="auto" w:sz="6" w:space="0"/>
            </w:tcBorders>
            <w:vAlign w:val="center"/>
          </w:tcPr>
          <w:p w14:paraId="17BBEC46">
            <w:pPr>
              <w:spacing w:line="24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图纸类别：</w:t>
            </w:r>
          </w:p>
        </w:tc>
        <w:tc>
          <w:tcPr>
            <w:tcW w:w="425" w:type="dxa"/>
            <w:vMerge w:val="continue"/>
            <w:tcBorders>
              <w:left w:val="single" w:color="auto" w:sz="6" w:space="0"/>
            </w:tcBorders>
            <w:vAlign w:val="center"/>
          </w:tcPr>
          <w:p w14:paraId="1F6409C1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54" w:type="dxa"/>
            <w:vAlign w:val="center"/>
          </w:tcPr>
          <w:p w14:paraId="5BD70029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622E16EF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</w:t>
            </w:r>
          </w:p>
          <w:p w14:paraId="1D32BA33">
            <w:pPr>
              <w:spacing w:line="24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474" w:type="dxa"/>
            <w:vAlign w:val="center"/>
          </w:tcPr>
          <w:p w14:paraId="3E1DF52B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1E5346C5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7BCEA65D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191" w:type="dxa"/>
            <w:vAlign w:val="center"/>
          </w:tcPr>
          <w:p w14:paraId="41D143D5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588" w:type="dxa"/>
            <w:vAlign w:val="center"/>
          </w:tcPr>
          <w:p w14:paraId="14241A93">
            <w:pPr>
              <w:spacing w:line="260" w:lineRule="exact"/>
              <w:rPr>
                <w:rFonts w:ascii="宋体" w:hAnsi="宋体"/>
              </w:rPr>
            </w:pPr>
          </w:p>
        </w:tc>
      </w:tr>
      <w:tr w14:paraId="00DB17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cantSplit/>
          <w:trHeight w:val="480" w:hRule="atLeast"/>
        </w:trPr>
        <w:tc>
          <w:tcPr>
            <w:tcW w:w="318" w:type="dxa"/>
            <w:vMerge w:val="continue"/>
            <w:vAlign w:val="center"/>
          </w:tcPr>
          <w:p w14:paraId="7ABEF33F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2880" w:type="dxa"/>
            <w:tcBorders>
              <w:right w:val="single" w:color="auto" w:sz="6" w:space="0"/>
            </w:tcBorders>
            <w:vAlign w:val="center"/>
          </w:tcPr>
          <w:p w14:paraId="0A86A43D">
            <w:pPr>
              <w:spacing w:line="24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图纸数量：张／套，共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套</w:t>
            </w:r>
          </w:p>
        </w:tc>
        <w:tc>
          <w:tcPr>
            <w:tcW w:w="425" w:type="dxa"/>
            <w:vMerge w:val="continue"/>
            <w:tcBorders>
              <w:left w:val="single" w:color="auto" w:sz="6" w:space="0"/>
            </w:tcBorders>
            <w:vAlign w:val="center"/>
          </w:tcPr>
          <w:p w14:paraId="6A575E72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54" w:type="dxa"/>
            <w:vAlign w:val="center"/>
          </w:tcPr>
          <w:p w14:paraId="34CF34A6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0C239A1A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3</w:t>
            </w:r>
          </w:p>
          <w:p w14:paraId="4CDB8A19">
            <w:pPr>
              <w:spacing w:line="24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474" w:type="dxa"/>
            <w:vAlign w:val="center"/>
          </w:tcPr>
          <w:p w14:paraId="1D4DB2D5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48D24F60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473BDFFB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191" w:type="dxa"/>
            <w:vAlign w:val="center"/>
          </w:tcPr>
          <w:p w14:paraId="5F0C6C4F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588" w:type="dxa"/>
            <w:vAlign w:val="center"/>
          </w:tcPr>
          <w:p w14:paraId="7AA40184">
            <w:pPr>
              <w:spacing w:line="260" w:lineRule="exact"/>
              <w:rPr>
                <w:rFonts w:ascii="宋体" w:hAnsi="宋体"/>
              </w:rPr>
            </w:pPr>
          </w:p>
        </w:tc>
      </w:tr>
      <w:tr w14:paraId="7C5975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cantSplit/>
          <w:trHeight w:val="480" w:hRule="atLeast"/>
        </w:trPr>
        <w:tc>
          <w:tcPr>
            <w:tcW w:w="318" w:type="dxa"/>
            <w:vMerge w:val="continue"/>
            <w:vAlign w:val="center"/>
          </w:tcPr>
          <w:p w14:paraId="7024F8C2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2880" w:type="dxa"/>
            <w:vMerge w:val="restart"/>
            <w:tcBorders>
              <w:right w:val="single" w:color="auto" w:sz="6" w:space="0"/>
            </w:tcBorders>
          </w:tcPr>
          <w:p w14:paraId="556822D0">
            <w:pPr>
              <w:spacing w:line="36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图纸编号或内容摘要：</w:t>
            </w:r>
          </w:p>
        </w:tc>
        <w:tc>
          <w:tcPr>
            <w:tcW w:w="425" w:type="dxa"/>
            <w:vMerge w:val="continue"/>
            <w:tcBorders>
              <w:left w:val="single" w:color="auto" w:sz="6" w:space="0"/>
            </w:tcBorders>
            <w:vAlign w:val="center"/>
          </w:tcPr>
          <w:p w14:paraId="170C6001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54" w:type="dxa"/>
            <w:vAlign w:val="center"/>
          </w:tcPr>
          <w:p w14:paraId="50CBC30E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3406CEDF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4</w:t>
            </w:r>
          </w:p>
          <w:p w14:paraId="043B123D">
            <w:pPr>
              <w:spacing w:line="24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474" w:type="dxa"/>
            <w:vAlign w:val="center"/>
          </w:tcPr>
          <w:p w14:paraId="69375DBD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0C14029D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76B50A89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191" w:type="dxa"/>
            <w:vAlign w:val="center"/>
          </w:tcPr>
          <w:p w14:paraId="1A62313E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588" w:type="dxa"/>
            <w:vAlign w:val="center"/>
          </w:tcPr>
          <w:p w14:paraId="4407DA96">
            <w:pPr>
              <w:spacing w:line="260" w:lineRule="exact"/>
              <w:rPr>
                <w:rFonts w:ascii="宋体" w:hAnsi="宋体"/>
              </w:rPr>
            </w:pPr>
          </w:p>
        </w:tc>
      </w:tr>
      <w:tr w14:paraId="1BAC76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cantSplit/>
          <w:trHeight w:val="480" w:hRule="atLeast"/>
        </w:trPr>
        <w:tc>
          <w:tcPr>
            <w:tcW w:w="318" w:type="dxa"/>
            <w:vMerge w:val="continue"/>
            <w:vAlign w:val="center"/>
          </w:tcPr>
          <w:p w14:paraId="0F07F923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2880" w:type="dxa"/>
            <w:vMerge w:val="continue"/>
            <w:tcBorders>
              <w:right w:val="single" w:color="auto" w:sz="6" w:space="0"/>
            </w:tcBorders>
            <w:vAlign w:val="center"/>
          </w:tcPr>
          <w:p w14:paraId="3FED5CDA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Merge w:val="continue"/>
            <w:tcBorders>
              <w:left w:val="single" w:color="auto" w:sz="6" w:space="0"/>
            </w:tcBorders>
            <w:vAlign w:val="center"/>
          </w:tcPr>
          <w:p w14:paraId="100FE653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54" w:type="dxa"/>
            <w:vAlign w:val="center"/>
          </w:tcPr>
          <w:p w14:paraId="4D03AA6F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20AE4B94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5</w:t>
            </w:r>
          </w:p>
          <w:p w14:paraId="59962BC7">
            <w:pPr>
              <w:spacing w:line="24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474" w:type="dxa"/>
            <w:vAlign w:val="center"/>
          </w:tcPr>
          <w:p w14:paraId="711A6847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1D1F56B8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564E8C1C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191" w:type="dxa"/>
            <w:vAlign w:val="center"/>
          </w:tcPr>
          <w:p w14:paraId="1E620203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588" w:type="dxa"/>
            <w:vAlign w:val="center"/>
          </w:tcPr>
          <w:p w14:paraId="30F3FFE3">
            <w:pPr>
              <w:spacing w:line="260" w:lineRule="exact"/>
              <w:rPr>
                <w:rFonts w:ascii="宋体" w:hAnsi="宋体"/>
              </w:rPr>
            </w:pPr>
          </w:p>
        </w:tc>
      </w:tr>
      <w:tr w14:paraId="3F5D79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cantSplit/>
          <w:trHeight w:val="480" w:hRule="atLeast"/>
        </w:trPr>
        <w:tc>
          <w:tcPr>
            <w:tcW w:w="318" w:type="dxa"/>
            <w:vMerge w:val="continue"/>
            <w:vAlign w:val="center"/>
          </w:tcPr>
          <w:p w14:paraId="4242D205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2880" w:type="dxa"/>
            <w:vMerge w:val="continue"/>
            <w:tcBorders>
              <w:right w:val="single" w:color="auto" w:sz="6" w:space="0"/>
            </w:tcBorders>
            <w:vAlign w:val="center"/>
          </w:tcPr>
          <w:p w14:paraId="187FDB31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Merge w:val="continue"/>
            <w:tcBorders>
              <w:left w:val="single" w:color="auto" w:sz="6" w:space="0"/>
            </w:tcBorders>
            <w:vAlign w:val="center"/>
          </w:tcPr>
          <w:p w14:paraId="7C08A450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54" w:type="dxa"/>
            <w:vAlign w:val="center"/>
          </w:tcPr>
          <w:p w14:paraId="72949622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495086F8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6</w:t>
            </w:r>
          </w:p>
          <w:p w14:paraId="3156B23C">
            <w:pPr>
              <w:spacing w:line="24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474" w:type="dxa"/>
            <w:vAlign w:val="center"/>
          </w:tcPr>
          <w:p w14:paraId="66006EFA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39AE5C17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710FAE14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191" w:type="dxa"/>
            <w:vAlign w:val="center"/>
          </w:tcPr>
          <w:p w14:paraId="0196194D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588" w:type="dxa"/>
            <w:vAlign w:val="center"/>
          </w:tcPr>
          <w:p w14:paraId="76553EF7">
            <w:pPr>
              <w:spacing w:line="260" w:lineRule="exact"/>
              <w:rPr>
                <w:rFonts w:ascii="宋体" w:hAnsi="宋体"/>
              </w:rPr>
            </w:pPr>
          </w:p>
        </w:tc>
      </w:tr>
      <w:tr w14:paraId="31D53C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cantSplit/>
          <w:trHeight w:val="480" w:hRule="atLeast"/>
        </w:trPr>
        <w:tc>
          <w:tcPr>
            <w:tcW w:w="318" w:type="dxa"/>
            <w:vMerge w:val="continue"/>
            <w:vAlign w:val="center"/>
          </w:tcPr>
          <w:p w14:paraId="7FFAB021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2880" w:type="dxa"/>
            <w:vMerge w:val="continue"/>
            <w:tcBorders>
              <w:right w:val="single" w:color="auto" w:sz="6" w:space="0"/>
            </w:tcBorders>
            <w:vAlign w:val="center"/>
          </w:tcPr>
          <w:p w14:paraId="4F43E736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Merge w:val="continue"/>
            <w:tcBorders>
              <w:left w:val="single" w:color="auto" w:sz="6" w:space="0"/>
            </w:tcBorders>
            <w:vAlign w:val="center"/>
          </w:tcPr>
          <w:p w14:paraId="7B09DAF4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54" w:type="dxa"/>
            <w:vAlign w:val="center"/>
          </w:tcPr>
          <w:p w14:paraId="4421C8C3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5F1FC012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7</w:t>
            </w:r>
          </w:p>
          <w:p w14:paraId="60186D92">
            <w:pPr>
              <w:spacing w:line="24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474" w:type="dxa"/>
            <w:vAlign w:val="center"/>
          </w:tcPr>
          <w:p w14:paraId="24305D9F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6E845F98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67544B51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191" w:type="dxa"/>
            <w:vAlign w:val="center"/>
          </w:tcPr>
          <w:p w14:paraId="27DA616E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588" w:type="dxa"/>
            <w:vAlign w:val="center"/>
          </w:tcPr>
          <w:p w14:paraId="7FD88E3A">
            <w:pPr>
              <w:spacing w:line="260" w:lineRule="exact"/>
              <w:rPr>
                <w:rFonts w:ascii="宋体" w:hAnsi="宋体"/>
              </w:rPr>
            </w:pPr>
          </w:p>
        </w:tc>
      </w:tr>
      <w:tr w14:paraId="76AEB2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cantSplit/>
          <w:trHeight w:val="480" w:hRule="atLeast"/>
        </w:trPr>
        <w:tc>
          <w:tcPr>
            <w:tcW w:w="318" w:type="dxa"/>
            <w:vMerge w:val="continue"/>
            <w:vAlign w:val="center"/>
          </w:tcPr>
          <w:p w14:paraId="5C6CED93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2880" w:type="dxa"/>
            <w:vMerge w:val="continue"/>
            <w:tcBorders>
              <w:right w:val="single" w:color="auto" w:sz="6" w:space="0"/>
            </w:tcBorders>
            <w:vAlign w:val="center"/>
          </w:tcPr>
          <w:p w14:paraId="59E3051B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Merge w:val="continue"/>
            <w:tcBorders>
              <w:left w:val="single" w:color="auto" w:sz="6" w:space="0"/>
            </w:tcBorders>
            <w:vAlign w:val="center"/>
          </w:tcPr>
          <w:p w14:paraId="7547BB71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54" w:type="dxa"/>
            <w:vAlign w:val="center"/>
          </w:tcPr>
          <w:p w14:paraId="5BEEC7B3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726FFC5C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8</w:t>
            </w:r>
          </w:p>
          <w:p w14:paraId="4D31498F">
            <w:pPr>
              <w:spacing w:line="24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474" w:type="dxa"/>
            <w:vAlign w:val="center"/>
          </w:tcPr>
          <w:p w14:paraId="76DFE1C4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05E50ED9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3F774B03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191" w:type="dxa"/>
            <w:vAlign w:val="center"/>
          </w:tcPr>
          <w:p w14:paraId="5E85840F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588" w:type="dxa"/>
            <w:vAlign w:val="center"/>
          </w:tcPr>
          <w:p w14:paraId="432828B6">
            <w:pPr>
              <w:spacing w:line="260" w:lineRule="exact"/>
              <w:rPr>
                <w:rFonts w:ascii="宋体" w:hAnsi="宋体"/>
              </w:rPr>
            </w:pPr>
          </w:p>
        </w:tc>
      </w:tr>
      <w:tr w14:paraId="24A48D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cantSplit/>
          <w:trHeight w:val="480" w:hRule="atLeast"/>
        </w:trPr>
        <w:tc>
          <w:tcPr>
            <w:tcW w:w="318" w:type="dxa"/>
            <w:vMerge w:val="continue"/>
            <w:vAlign w:val="center"/>
          </w:tcPr>
          <w:p w14:paraId="26F801F6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2880" w:type="dxa"/>
            <w:vMerge w:val="continue"/>
            <w:tcBorders>
              <w:right w:val="single" w:color="auto" w:sz="6" w:space="0"/>
            </w:tcBorders>
            <w:vAlign w:val="center"/>
          </w:tcPr>
          <w:p w14:paraId="136FF856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Merge w:val="continue"/>
            <w:tcBorders>
              <w:left w:val="single" w:color="auto" w:sz="6" w:space="0"/>
            </w:tcBorders>
            <w:vAlign w:val="center"/>
          </w:tcPr>
          <w:p w14:paraId="4996B709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54" w:type="dxa"/>
            <w:vAlign w:val="center"/>
          </w:tcPr>
          <w:p w14:paraId="35F8AC29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1FF17D35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9</w:t>
            </w:r>
          </w:p>
          <w:p w14:paraId="0E5D2BB4">
            <w:pPr>
              <w:spacing w:line="24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474" w:type="dxa"/>
            <w:vAlign w:val="center"/>
          </w:tcPr>
          <w:p w14:paraId="27625CE0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0391D7F8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0D16E95D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191" w:type="dxa"/>
            <w:vAlign w:val="center"/>
          </w:tcPr>
          <w:p w14:paraId="430344F7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588" w:type="dxa"/>
            <w:vAlign w:val="center"/>
          </w:tcPr>
          <w:p w14:paraId="6F7989B3">
            <w:pPr>
              <w:spacing w:line="260" w:lineRule="exact"/>
              <w:rPr>
                <w:rFonts w:ascii="宋体" w:hAnsi="宋体"/>
              </w:rPr>
            </w:pPr>
          </w:p>
        </w:tc>
      </w:tr>
      <w:tr w14:paraId="431DEE9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cantSplit/>
          <w:trHeight w:val="480" w:hRule="atLeast"/>
        </w:trPr>
        <w:tc>
          <w:tcPr>
            <w:tcW w:w="318" w:type="dxa"/>
            <w:vMerge w:val="continue"/>
            <w:vAlign w:val="center"/>
          </w:tcPr>
          <w:p w14:paraId="57CD3410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2880" w:type="dxa"/>
            <w:vMerge w:val="continue"/>
            <w:tcBorders>
              <w:right w:val="single" w:color="auto" w:sz="6" w:space="0"/>
            </w:tcBorders>
            <w:vAlign w:val="center"/>
          </w:tcPr>
          <w:p w14:paraId="76531E07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Merge w:val="continue"/>
            <w:tcBorders>
              <w:left w:val="single" w:color="auto" w:sz="6" w:space="0"/>
            </w:tcBorders>
            <w:vAlign w:val="center"/>
          </w:tcPr>
          <w:p w14:paraId="6DB3F909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54" w:type="dxa"/>
            <w:vAlign w:val="center"/>
          </w:tcPr>
          <w:p w14:paraId="2C65D046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58F3C699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10</w:t>
            </w:r>
          </w:p>
          <w:p w14:paraId="1B16CC20">
            <w:pPr>
              <w:spacing w:line="24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474" w:type="dxa"/>
            <w:vAlign w:val="center"/>
          </w:tcPr>
          <w:p w14:paraId="54A1BAB8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5B850F8A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1AB21426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191" w:type="dxa"/>
            <w:vAlign w:val="center"/>
          </w:tcPr>
          <w:p w14:paraId="3CBBC8AD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588" w:type="dxa"/>
            <w:vAlign w:val="center"/>
          </w:tcPr>
          <w:p w14:paraId="0B0E6AA5">
            <w:pPr>
              <w:spacing w:line="260" w:lineRule="exact"/>
              <w:rPr>
                <w:rFonts w:ascii="宋体" w:hAnsi="宋体"/>
              </w:rPr>
            </w:pPr>
          </w:p>
        </w:tc>
      </w:tr>
      <w:tr w14:paraId="1AA377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cantSplit/>
          <w:trHeight w:val="480" w:hRule="atLeast"/>
        </w:trPr>
        <w:tc>
          <w:tcPr>
            <w:tcW w:w="318" w:type="dxa"/>
            <w:vMerge w:val="continue"/>
            <w:vAlign w:val="center"/>
          </w:tcPr>
          <w:p w14:paraId="6E570EF7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2880" w:type="dxa"/>
            <w:vMerge w:val="restart"/>
            <w:tcBorders>
              <w:right w:val="single" w:color="auto" w:sz="6" w:space="0"/>
            </w:tcBorders>
          </w:tcPr>
          <w:p w14:paraId="1CE5FA17">
            <w:pPr>
              <w:spacing w:line="36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备注：</w:t>
            </w:r>
          </w:p>
        </w:tc>
        <w:tc>
          <w:tcPr>
            <w:tcW w:w="425" w:type="dxa"/>
            <w:vMerge w:val="continue"/>
            <w:tcBorders>
              <w:left w:val="single" w:color="auto" w:sz="6" w:space="0"/>
            </w:tcBorders>
            <w:vAlign w:val="center"/>
          </w:tcPr>
          <w:p w14:paraId="3DB80E9C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54" w:type="dxa"/>
            <w:vAlign w:val="center"/>
          </w:tcPr>
          <w:p w14:paraId="591550BC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21C722E0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11</w:t>
            </w:r>
          </w:p>
          <w:p w14:paraId="6F91B866">
            <w:pPr>
              <w:spacing w:line="24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474" w:type="dxa"/>
            <w:vAlign w:val="center"/>
          </w:tcPr>
          <w:p w14:paraId="445C16C4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1BE244D5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52775ADF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191" w:type="dxa"/>
            <w:vAlign w:val="center"/>
          </w:tcPr>
          <w:p w14:paraId="47E5FF64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588" w:type="dxa"/>
            <w:vAlign w:val="center"/>
          </w:tcPr>
          <w:p w14:paraId="5D838C1F">
            <w:pPr>
              <w:spacing w:line="260" w:lineRule="exact"/>
              <w:rPr>
                <w:rFonts w:ascii="宋体" w:hAnsi="宋体"/>
              </w:rPr>
            </w:pPr>
          </w:p>
        </w:tc>
      </w:tr>
      <w:tr w14:paraId="2D733F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cantSplit/>
          <w:trHeight w:val="480" w:hRule="atLeast"/>
        </w:trPr>
        <w:tc>
          <w:tcPr>
            <w:tcW w:w="318" w:type="dxa"/>
            <w:vMerge w:val="continue"/>
            <w:vAlign w:val="center"/>
          </w:tcPr>
          <w:p w14:paraId="0C2F14FA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2880" w:type="dxa"/>
            <w:vMerge w:val="continue"/>
            <w:tcBorders>
              <w:right w:val="single" w:color="auto" w:sz="6" w:space="0"/>
            </w:tcBorders>
            <w:vAlign w:val="center"/>
          </w:tcPr>
          <w:p w14:paraId="054474BE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Merge w:val="continue"/>
            <w:tcBorders>
              <w:left w:val="single" w:color="auto" w:sz="6" w:space="0"/>
            </w:tcBorders>
            <w:vAlign w:val="center"/>
          </w:tcPr>
          <w:p w14:paraId="2E3F6029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54" w:type="dxa"/>
            <w:vAlign w:val="center"/>
          </w:tcPr>
          <w:p w14:paraId="5058D524">
            <w:pPr>
              <w:spacing w:line="240" w:lineRule="exact"/>
              <w:jc w:val="center"/>
              <w:rPr>
                <w:rFonts w:ascii="宋体" w:hAnsi="宋体"/>
              </w:rPr>
            </w:pPr>
          </w:p>
          <w:p w14:paraId="7AF5B485">
            <w:pPr>
              <w:spacing w:line="24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12</w:t>
            </w:r>
          </w:p>
          <w:p w14:paraId="3F1B487B">
            <w:pPr>
              <w:spacing w:line="24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474" w:type="dxa"/>
            <w:vAlign w:val="center"/>
          </w:tcPr>
          <w:p w14:paraId="14B85B65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7F96FAD1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425" w:type="dxa"/>
            <w:vAlign w:val="center"/>
          </w:tcPr>
          <w:p w14:paraId="5E212EEB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191" w:type="dxa"/>
            <w:vAlign w:val="center"/>
          </w:tcPr>
          <w:p w14:paraId="3A11C51D">
            <w:pPr>
              <w:spacing w:line="260" w:lineRule="exact"/>
              <w:rPr>
                <w:rFonts w:ascii="宋体" w:hAnsi="宋体"/>
              </w:rPr>
            </w:pPr>
          </w:p>
        </w:tc>
        <w:tc>
          <w:tcPr>
            <w:tcW w:w="1588" w:type="dxa"/>
            <w:vAlign w:val="center"/>
          </w:tcPr>
          <w:p w14:paraId="56C3B7E9">
            <w:pPr>
              <w:spacing w:line="260" w:lineRule="exact"/>
              <w:rPr>
                <w:rFonts w:ascii="宋体" w:hAnsi="宋体"/>
              </w:rPr>
            </w:pPr>
          </w:p>
        </w:tc>
      </w:tr>
    </w:tbl>
    <w:p w14:paraId="395189FA">
      <w:pPr>
        <w:spacing w:line="300" w:lineRule="exact"/>
        <w:ind w:firstLine="482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注：本表由收发图纸部门填写，并留存；图纸作废应在备注栏注明。</w:t>
      </w:r>
    </w:p>
    <w:p w14:paraId="08271D75">
      <w:pPr>
        <w:jc w:val="center"/>
        <w:rPr>
          <w:rFonts w:hint="eastAsia" w:ascii="宋体" w:hAnsi="宋体"/>
        </w:rPr>
      </w:pPr>
    </w:p>
    <w:p w14:paraId="10097456"/>
    <w:p w14:paraId="7C76B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7B20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二、安全隐患奖励机制流程</w:t>
      </w:r>
    </w:p>
    <w:p w14:paraId="5DFAF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制度依据：沪建营造〔2025〕8 号《上海建工智慧营造有限公司事故隐患内部报告奖励机制实施方案》</w:t>
      </w:r>
    </w:p>
    <w:p w14:paraId="0EC09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使用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人员</w:t>
      </w:r>
      <w:r>
        <w:rPr>
          <w:rFonts w:ascii="宋体" w:hAnsi="宋体" w:eastAsia="宋体" w:cs="宋体"/>
          <w:sz w:val="24"/>
          <w:szCs w:val="24"/>
        </w:rPr>
        <w:t>：上海建工智慧营造有限公司全体人员（管理人员、一线作业人员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农民工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）；</w:t>
      </w:r>
      <w:r>
        <w:rPr>
          <w:rStyle w:val="4"/>
          <w:rFonts w:ascii="宋体" w:hAnsi="宋体" w:eastAsia="宋体" w:cs="宋体"/>
          <w:color w:val="000000"/>
          <w:sz w:val="24"/>
          <w:szCs w:val="24"/>
        </w:rPr>
        <w:t>专职安全管理人员无申报奖励权限</w:t>
      </w:r>
      <w:r>
        <w:rPr>
          <w:rStyle w:val="4"/>
          <w:rFonts w:hint="eastAsia" w:ascii="宋体" w:hAnsi="宋体" w:eastAsia="宋体" w:cs="宋体"/>
          <w:color w:val="000000"/>
          <w:sz w:val="24"/>
          <w:szCs w:val="24"/>
          <w:lang w:eastAsia="zh-CN"/>
        </w:rPr>
        <w:t>。</w:t>
      </w:r>
    </w:p>
    <w:p w14:paraId="4ACD2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</w:t>
      </w:r>
      <w:r>
        <w:rPr>
          <w:rFonts w:ascii="宋体" w:hAnsi="宋体" w:eastAsia="宋体" w:cs="宋体"/>
          <w:sz w:val="24"/>
          <w:szCs w:val="24"/>
        </w:rPr>
        <w:t>目标：实现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项目部现场进行</w:t>
      </w:r>
      <w:r>
        <w:rPr>
          <w:rFonts w:ascii="宋体" w:hAnsi="宋体" w:eastAsia="宋体" w:cs="宋体"/>
          <w:sz w:val="24"/>
          <w:szCs w:val="24"/>
        </w:rPr>
        <w:t>线上隐患上报、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项目安全员</w:t>
      </w:r>
      <w:r>
        <w:rPr>
          <w:rFonts w:ascii="宋体" w:hAnsi="宋体" w:eastAsia="宋体" w:cs="宋体"/>
          <w:sz w:val="24"/>
          <w:szCs w:val="24"/>
        </w:rPr>
        <w:t>后台核查整改闭环、奖励自动评定发放、全流程台账归档、举报信息保密、数据统计考核一体化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4D7A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1.首先，现场项目部人员（包含一线工人），通过扫描现场“事故隐患报告奖励告示牌”上方的二维码，通过微信小程序填写</w:t>
      </w:r>
      <w:r>
        <w:rPr>
          <w:rFonts w:ascii="宋体" w:hAnsi="宋体" w:eastAsia="宋体" w:cs="宋体"/>
          <w:sz w:val="24"/>
          <w:szCs w:val="24"/>
        </w:rPr>
        <w:t>附件 1《事故内部报告隐患记录表》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D2E4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</w:pPr>
      <w:r>
        <w:drawing>
          <wp:inline distT="0" distB="0" distL="114300" distR="114300">
            <wp:extent cx="3632200" cy="5720080"/>
            <wp:effectExtent l="0" t="0" r="10160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572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6F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项目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安全员/安全主管</w:t>
      </w:r>
      <w:r>
        <w:rPr>
          <w:rFonts w:ascii="宋体" w:hAnsi="宋体" w:eastAsia="宋体" w:cs="宋体"/>
          <w:sz w:val="24"/>
          <w:szCs w:val="24"/>
        </w:rPr>
        <w:t>接收上报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记录表</w:t>
      </w:r>
      <w:r>
        <w:rPr>
          <w:rFonts w:ascii="宋体" w:hAnsi="宋体" w:eastAsia="宋体" w:cs="宋体"/>
          <w:sz w:val="24"/>
          <w:szCs w:val="24"/>
        </w:rPr>
        <w:t>：系统自动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提醒</w:t>
      </w:r>
      <w:r>
        <w:rPr>
          <w:rFonts w:ascii="宋体" w:hAnsi="宋体" w:eastAsia="宋体" w:cs="宋体"/>
          <w:sz w:val="24"/>
          <w:szCs w:val="24"/>
        </w:rPr>
        <w:t>至对应项目部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安全员/安全主管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</w:t>
      </w:r>
      <w:r>
        <w:rPr>
          <w:rFonts w:ascii="宋体" w:hAnsi="宋体" w:eastAsia="宋体" w:cs="宋体"/>
          <w:sz w:val="24"/>
          <w:szCs w:val="24"/>
        </w:rPr>
        <w:t>单状态：待核查→核查中→待整改→整改完成→验收→奖励评定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D919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3.奖励审批流程</w:t>
      </w:r>
    </w:p>
    <w:p w14:paraId="51DC3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隐患整改验收合格后，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及时进行</w:t>
      </w:r>
      <w:r>
        <w:rPr>
          <w:rFonts w:ascii="宋体" w:hAnsi="宋体" w:eastAsia="宋体" w:cs="宋体"/>
          <w:sz w:val="24"/>
          <w:szCs w:val="24"/>
        </w:rPr>
        <w:t>奖励评定流程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D36E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一般事故隐患：小额常规奖励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项目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安全</w:t>
      </w:r>
      <w:r>
        <w:rPr>
          <w:rFonts w:ascii="宋体" w:hAnsi="宋体" w:eastAsia="宋体" w:cs="宋体"/>
          <w:sz w:val="24"/>
          <w:szCs w:val="24"/>
        </w:rPr>
        <w:t>员提交奖励申请→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项目部</w:t>
      </w:r>
      <w:r>
        <w:rPr>
          <w:rFonts w:ascii="宋体" w:hAnsi="宋体" w:eastAsia="宋体" w:cs="宋体"/>
          <w:sz w:val="24"/>
          <w:szCs w:val="24"/>
        </w:rPr>
        <w:t>审核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奖励发放。</w:t>
      </w:r>
    </w:p>
    <w:p w14:paraId="42245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重大事故隐患：中额奖励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项目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安全</w:t>
      </w:r>
      <w:r>
        <w:rPr>
          <w:rFonts w:ascii="宋体" w:hAnsi="宋体" w:eastAsia="宋体" w:cs="宋体"/>
          <w:sz w:val="24"/>
          <w:szCs w:val="24"/>
        </w:rPr>
        <w:t>员提交奖励申请→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项目部</w:t>
      </w:r>
      <w:r>
        <w:rPr>
          <w:rFonts w:ascii="宋体" w:hAnsi="宋体" w:eastAsia="宋体" w:cs="宋体"/>
          <w:sz w:val="24"/>
          <w:szCs w:val="24"/>
        </w:rPr>
        <w:t>审核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→</w:t>
      </w:r>
      <w:r>
        <w:rPr>
          <w:rFonts w:ascii="宋体" w:hAnsi="宋体" w:eastAsia="宋体" w:cs="宋体"/>
          <w:sz w:val="24"/>
          <w:szCs w:val="24"/>
        </w:rPr>
        <w:t>安全管理部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终审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奖励发放。</w:t>
      </w:r>
    </w:p>
    <w:p w14:paraId="2E4BC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零容忍安全隐患（避免伤亡 / 重大财产损失）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项目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安全</w:t>
      </w:r>
      <w:r>
        <w:rPr>
          <w:rFonts w:ascii="宋体" w:hAnsi="宋体" w:eastAsia="宋体" w:cs="宋体"/>
          <w:sz w:val="24"/>
          <w:szCs w:val="24"/>
        </w:rPr>
        <w:t>员提交奖励申请→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项目部</w:t>
      </w:r>
      <w:r>
        <w:rPr>
          <w:rFonts w:ascii="宋体" w:hAnsi="宋体" w:eastAsia="宋体" w:cs="宋体"/>
          <w:sz w:val="24"/>
          <w:szCs w:val="24"/>
        </w:rPr>
        <w:t>审核→安全管理部审核→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安委会</w:t>
      </w:r>
      <w:r>
        <w:rPr>
          <w:rFonts w:ascii="宋体" w:hAnsi="宋体" w:eastAsia="宋体" w:cs="宋体"/>
          <w:sz w:val="24"/>
          <w:szCs w:val="24"/>
        </w:rPr>
        <w:t>领导小组终审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奖励发放。</w:t>
      </w:r>
    </w:p>
    <w:p w14:paraId="205E1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具体奖励内容参照</w:t>
      </w:r>
      <w:r>
        <w:rPr>
          <w:rFonts w:ascii="宋体" w:hAnsi="宋体" w:eastAsia="宋体" w:cs="宋体"/>
          <w:sz w:val="24"/>
          <w:szCs w:val="24"/>
        </w:rPr>
        <w:t>沪建营造〔2025〕8 号《上海建工智慧营造有限公司事故隐患内部报告奖励机制实施方案》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附件4</w:t>
      </w:r>
    </w:p>
    <w:p w14:paraId="31C04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4.每月奖励发放后，需</w:t>
      </w:r>
      <w:r>
        <w:rPr>
          <w:rFonts w:ascii="宋体" w:hAnsi="宋体" w:eastAsia="宋体" w:cs="宋体"/>
          <w:sz w:val="24"/>
          <w:szCs w:val="24"/>
        </w:rPr>
        <w:t>台账自动生成与报表导出（附件 2《事故隐患奖励台账（月报）》</w:t>
      </w:r>
    </w:p>
    <w:p w14:paraId="0492E1A8">
      <w:pPr>
        <w:spacing w:before="480" w:after="480" w:line="288" w:lineRule="auto"/>
        <w:ind w:left="0"/>
      </w:pPr>
      <w:r>
        <w:drawing>
          <wp:inline distT="0" distB="0" distL="114300" distR="114300">
            <wp:extent cx="5613400" cy="3153410"/>
            <wp:effectExtent l="0" t="0" r="10160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2DB84">
      <w:pPr>
        <w:spacing w:before="480" w:after="480" w:line="288" w:lineRule="auto"/>
      </w:pPr>
    </w:p>
    <w:p w14:paraId="36BCE95C">
      <w:pPr>
        <w:jc w:val="center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建筑工人实名制管理系统现状</w:t>
      </w:r>
    </w:p>
    <w:p w14:paraId="17B04354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一、住建委平台（上海市建设工程实名制管理系统，政府监管平台）</w:t>
      </w:r>
      <w:bookmarkEnd w:id="0"/>
    </w:p>
    <w:p w14:paraId="185E1B7D">
      <w:pPr>
        <w:spacing w:before="260" w:after="120" w:line="288" w:lineRule="auto"/>
        <w:ind w:left="0"/>
        <w:jc w:val="left"/>
        <w:outlineLvl w:val="3"/>
      </w:pPr>
      <w:bookmarkStart w:id="1" w:name="heading_1"/>
      <w:r>
        <w:rPr>
          <w:rFonts w:ascii="Arial" w:hAnsi="Arial" w:eastAsia="等线" w:cs="Arial"/>
          <w:b/>
          <w:sz w:val="28"/>
        </w:rPr>
        <w:t>1. 所需录入信息</w:t>
      </w:r>
      <w:bookmarkEnd w:id="1"/>
    </w:p>
    <w:p w14:paraId="0B998C1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工人个人端信息</w:t>
      </w:r>
      <w:r>
        <w:rPr>
          <w:rFonts w:ascii="Arial" w:hAnsi="Arial" w:eastAsia="等线" w:cs="Arial"/>
          <w:sz w:val="22"/>
        </w:rPr>
        <w:t>：身份证正反面信息、人脸核验数据、本人银行卡号、开户银行及开户支行。</w:t>
      </w:r>
    </w:p>
    <w:p w14:paraId="1DB25EB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企业端信息</w:t>
      </w:r>
      <w:r>
        <w:rPr>
          <w:rFonts w:ascii="Arial" w:hAnsi="Arial" w:eastAsia="等线" w:cs="Arial"/>
          <w:sz w:val="22"/>
        </w:rPr>
        <w:t>：工人姓名、身份证号、手机号、学历；从事工种、所属班组、班组长、日 / 计件工资标准；所属项目、用工单位信息；每日班前签到考勤数据；月度工资支付明细。</w:t>
      </w:r>
    </w:p>
    <w:p w14:paraId="38E356BB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b/>
          <w:sz w:val="28"/>
        </w:rPr>
        <w:t>2. 录入流程</w:t>
      </w:r>
      <w:bookmarkEnd w:id="2"/>
    </w:p>
    <w:p w14:paraId="0C2C13A0">
      <w:pPr>
        <w:spacing w:before="240" w:after="120" w:line="288" w:lineRule="auto"/>
        <w:ind w:left="0"/>
        <w:jc w:val="left"/>
        <w:outlineLvl w:val="4"/>
      </w:pPr>
      <w:bookmarkStart w:id="3" w:name="heading_3"/>
      <w:r>
        <w:rPr>
          <w:rFonts w:ascii="Arial" w:hAnsi="Arial" w:eastAsia="等线" w:cs="Arial"/>
          <w:b/>
          <w:sz w:val="24"/>
        </w:rPr>
        <w:t>（1）前置基础流程</w:t>
      </w:r>
      <w:bookmarkEnd w:id="3"/>
    </w:p>
    <w:p w14:paraId="34CE6F9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工人个人实名采集</w:t>
      </w:r>
      <w:r>
        <w:rPr>
          <w:rFonts w:ascii="Arial" w:hAnsi="Arial" w:eastAsia="等线" w:cs="Arial"/>
          <w:sz w:val="22"/>
        </w:rPr>
        <w:t>：工人在「随申办市民云」APP 完成操作 —— 登录账号后搜索 “上海市建设市场信息服务”，进入【个人信息服务】，上传身份证正反面并完成人脸识别，完成个人实名登记；返回进入【实名制系统 3.0】，在个人从业信息中添加本人银行卡信息。</w:t>
      </w:r>
    </w:p>
    <w:p w14:paraId="5EF512C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分包单位上岗登记 + 项目分配</w:t>
      </w:r>
      <w:r>
        <w:rPr>
          <w:rFonts w:ascii="Arial" w:hAnsi="Arial" w:eastAsia="等线" w:cs="Arial"/>
          <w:sz w:val="22"/>
        </w:rPr>
        <w:t>：分包使用法人一证通登录住建委 PC 平台，依次进入「从业人员实名制管理 - 建筑工人实名制管理 - 上岗登记」，录入工人基础信息完成上岗登记；再进入「项目分配」，选定对应项目，补充工人工种、工资标准、班组等信息后提交，将人员推送至目标项目。</w:t>
      </w:r>
    </w:p>
    <w:p w14:paraId="3693756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总包单位人员接收 + 角色授权</w:t>
      </w:r>
      <w:r>
        <w:rPr>
          <w:rFonts w:ascii="Arial" w:hAnsi="Arial" w:eastAsia="等线" w:cs="Arial"/>
          <w:sz w:val="22"/>
        </w:rPr>
        <w:t>：总包账号登录平台，进入「项目人员接收」，查询分包推送的人员，点击接收确认工人进场；如需设置考勤人员，进入「项目角色授权管理」，为对应人员授予 “班前签到员” 权限。</w:t>
      </w:r>
    </w:p>
    <w:p w14:paraId="39A0AA47">
      <w:pPr>
        <w:spacing w:before="240" w:after="120" w:line="288" w:lineRule="auto"/>
        <w:ind w:left="0"/>
        <w:jc w:val="left"/>
        <w:outlineLvl w:val="4"/>
      </w:pPr>
      <w:bookmarkStart w:id="4" w:name="heading_4"/>
      <w:r>
        <w:rPr>
          <w:rFonts w:ascii="Arial" w:hAnsi="Arial" w:eastAsia="等线" w:cs="Arial"/>
          <w:b/>
          <w:sz w:val="24"/>
        </w:rPr>
        <w:t>（2）常态化运营流程</w:t>
      </w:r>
      <w:bookmarkEnd w:id="4"/>
    </w:p>
    <w:p w14:paraId="2174EEA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每日班前签到</w:t>
      </w:r>
      <w:r>
        <w:rPr>
          <w:rFonts w:ascii="Arial" w:hAnsi="Arial" w:eastAsia="等线" w:cs="Arial"/>
          <w:sz w:val="22"/>
        </w:rPr>
        <w:t>：支持两种方式 —— 工人扫码签到员的建设码，或签到员逐个扫描工人的建设码；签到需开启手机定位、在项目范围内操作，建设码 2 分钟有效期。</w:t>
      </w:r>
    </w:p>
    <w:p w14:paraId="2F7AF51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月度工资支付</w:t>
      </w:r>
      <w:r>
        <w:rPr>
          <w:rFonts w:ascii="Arial" w:hAnsi="Arial" w:eastAsia="等线" w:cs="Arial"/>
          <w:sz w:val="22"/>
        </w:rPr>
        <w:t>：总包先设置月工资结算日期、生成银行交换批次号；分包 / 总包编制工资支付表（系统自动匹配当月签到人员），逐级审核后生成汇总表，经项目经理、企业数字证书双签署后，推送至项目工资专户银行完成代发。</w:t>
      </w:r>
    </w:p>
    <w:p w14:paraId="57AF771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375AB4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二、羿云平台（上海建工内部实名制管理系统，企业内部管理平台）</w:t>
      </w:r>
      <w:bookmarkEnd w:id="5"/>
    </w:p>
    <w:p w14:paraId="46273375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1. 所需录入信息</w:t>
      </w:r>
      <w:bookmarkEnd w:id="6"/>
    </w:p>
    <w:p w14:paraId="0D7889C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人员基础信息：身份证读取的身份信息、本人照片、手机号、所属分包单位、从事工种、所属班组、银行卡号、开户银行及支行。</w:t>
      </w:r>
    </w:p>
    <w:p w14:paraId="65EE73B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配套资料：劳动合同扫描件、健康体检报告（建工医院出具后自动上传）、特种作业资格证书、安全干事证书。</w:t>
      </w:r>
    </w:p>
    <w:p w14:paraId="14240F9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项目管理信息：项目基本信息、参建单位信息、班组信息、人员进退场时间、门禁权限、宿舍分配信息。</w:t>
      </w:r>
    </w:p>
    <w:p w14:paraId="323DEA18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2. 录入流程</w:t>
      </w:r>
      <w:bookmarkEnd w:id="7"/>
    </w:p>
    <w:p w14:paraId="0FDCA5C1">
      <w:pPr>
        <w:spacing w:before="240" w:after="120" w:line="288" w:lineRule="auto"/>
        <w:ind w:left="0"/>
        <w:jc w:val="left"/>
        <w:outlineLvl w:val="4"/>
      </w:pPr>
      <w:bookmarkStart w:id="8" w:name="heading_8"/>
      <w:r>
        <w:rPr>
          <w:rFonts w:ascii="Arial" w:hAnsi="Arial" w:eastAsia="等线" w:cs="Arial"/>
          <w:b/>
          <w:sz w:val="24"/>
        </w:rPr>
        <w:t>（1）分包单位端录入与分配</w:t>
      </w:r>
      <w:bookmarkEnd w:id="8"/>
    </w:p>
    <w:p w14:paraId="4608D3A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分包账号登录羿云系统，进入「本单位人员管理 - 人员库」，通过身份证读卡器读取工人基础身份信息，补充工种、手机号、银行卡、班组等信息完成人员入库。</w:t>
      </w:r>
    </w:p>
    <w:p w14:paraId="3A347CB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在对应模块上传劳动合同、健康证明、特种工资格证书等附件（男性 50 岁以上、女性 45 岁以上及特殊工种必须上传健康证明）。</w:t>
      </w:r>
    </w:p>
    <w:p w14:paraId="2E9C707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进入「人员分配管理」，选定目标项目与分配单位，勾选待分配人员 / 班组，确认后将人员推送至对应项目。</w:t>
      </w:r>
    </w:p>
    <w:p w14:paraId="7F3CC7A6">
      <w:pPr>
        <w:spacing w:before="240" w:after="120" w:line="288" w:lineRule="auto"/>
        <w:ind w:left="0"/>
        <w:jc w:val="left"/>
        <w:outlineLvl w:val="4"/>
      </w:pPr>
      <w:bookmarkStart w:id="9" w:name="heading_9"/>
      <w:r>
        <w:rPr>
          <w:rFonts w:ascii="Arial" w:hAnsi="Arial" w:eastAsia="等线" w:cs="Arial"/>
          <w:b/>
          <w:sz w:val="24"/>
        </w:rPr>
        <w:t>（2）项目部端接收与维护</w:t>
      </w:r>
      <w:bookmarkEnd w:id="9"/>
    </w:p>
    <w:p w14:paraId="7CCC5D8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项目部账号登录系统，进入「人员接收管理」，对分包推送的人员进行批量 / 单个接收，退回不符合要求的人员。</w:t>
      </w:r>
    </w:p>
    <w:p w14:paraId="1C52F35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在「人员管理」中维护人员进退场、分配门禁权限；在「宿舍管理」中完成宿舍区域、楼栋、房间配置，分配人员入住。</w:t>
      </w:r>
    </w:p>
    <w:p w14:paraId="77C7279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同步维护班组信息、参建单位信息、项目基础信息（含总包合同编号，用于对接住建委系统）。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D91D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68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补充说明：上海建工医院的体检报告出具后，会自动同步至羿云系统，无需手动上传。</w:t>
            </w:r>
          </w:p>
        </w:tc>
      </w:tr>
    </w:tbl>
    <w:p w14:paraId="32CEC75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6F275B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三、一人一档（安全管理部要求，纸质归档档案，集团强制要求）</w:t>
      </w:r>
      <w:bookmarkEnd w:id="10"/>
    </w:p>
    <w:p w14:paraId="66A1DF56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1. 所需归档信息</w:t>
      </w:r>
      <w:bookmarkEnd w:id="11"/>
    </w:p>
    <w:p w14:paraId="580B951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基础身份类：建筑工人基本信息卡（姓名、身份证号、工种、进场时间、用人单位、技术等级、既往病史等）、健康复核信息（身高体重、血压心率、视力听力、身体状况等）。</w:t>
      </w:r>
    </w:p>
    <w:p w14:paraId="00C762C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安全教育类：三级安全教育记录卡（公司级 / 项目级 / 班组级教育内容、时长、教育人签字）、进场安全教育试卷及成绩、进场安全教育宣讲记录。</w:t>
      </w:r>
    </w:p>
    <w:p w14:paraId="27CD26A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承诺与附件：建筑工人安全责任承诺书、体检报告原件 / 复印件、劳动合同复印件、特种作业资格证书复印件等。</w:t>
      </w:r>
    </w:p>
    <w:p w14:paraId="07651F8E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2. 归档制作流程</w:t>
      </w:r>
      <w:bookmarkEnd w:id="12"/>
    </w:p>
    <w:p w14:paraId="07F83FA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工人进场前完成体检，获取正式体检报告。</w:t>
      </w:r>
    </w:p>
    <w:p w14:paraId="46D039D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填写《建筑工人基本信息卡》，工人核对信息并签字承诺既往病史真实；项目部完成健康初检，填写复核信息登记表并盖章确认。</w:t>
      </w:r>
    </w:p>
    <w:p w14:paraId="1765A1B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依次组织公司、项目、班组三级安全教育，如实填写三级安全教育记录卡，教育人与受教育人双方签字。</w:t>
      </w:r>
    </w:p>
    <w:p w14:paraId="2771BCB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组织工人完成安全教育考试，留存试卷与成绩记录（80 分合格）。</w:t>
      </w:r>
    </w:p>
    <w:p w14:paraId="162C886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开展进场全员安全教育宣讲，讲解现场安全纪律与操作规程，工人签字确认参训。</w:t>
      </w:r>
    </w:p>
    <w:p w14:paraId="45C346C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工人签署《建筑工人安全责任承诺书》，按手印确认。</w:t>
      </w:r>
    </w:p>
    <w:p w14:paraId="6261448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汇总所有资料，附体检报告、劳动合同、资格证书等附件，按一人一册装订，形成完整纸质档案归档留存。</w:t>
      </w:r>
    </w:p>
    <w:p w14:paraId="48AB356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1EAA22E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三者核心关系说明</w:t>
      </w:r>
      <w:bookmarkEnd w:id="13"/>
      <w:bookmarkStart w:id="14" w:name="_GoBack"/>
      <w:bookmarkEnd w:id="14"/>
    </w:p>
    <w:p w14:paraId="5EEFF99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三套体系相互独立、数据不自动互通，需分别录入 / 制作，核心信息高度重叠但录入入口、要求不同。</w:t>
      </w:r>
    </w:p>
    <w:p w14:paraId="5352878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常规进场先后逻辑：工人完成体检 → 制作一人一档纸质资料 + 工人完成随申办个人实名 → 羿云平台录入人员信息并分配项目 → 住建委平台完成上岗登记与项目分配 → 总包在两个平台分别完成人员接收。</w:t>
      </w:r>
    </w:p>
    <w:p w14:paraId="4100B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7ECEA79"/>
    <w:multiLevelType w:val="singleLevel"/>
    <w:tmpl w:val="77ECEA7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7">
    <w:nsid w:val="7C246926"/>
    <w:multiLevelType w:val="singleLevel"/>
    <w:tmpl w:val="7C246926"/>
    <w:lvl w:ilvl="0" w:tentative="0">
      <w:start w:val="6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5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7"/>
  </w:num>
  <w:num w:numId="26">
    <w:abstractNumId w:val="26"/>
  </w:num>
  <w:num w:numId="27">
    <w:abstractNumId w:val="4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8650EB"/>
    <w:rsid w:val="558A1477"/>
    <w:rsid w:val="63B53257"/>
    <w:rsid w:val="714234C3"/>
    <w:rsid w:val="7251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1103</Words>
  <Characters>1138</Characters>
  <Lines>0</Lines>
  <Paragraphs>0</Paragraphs>
  <TotalTime>0</TotalTime>
  <ScaleCrop>false</ScaleCrop>
  <LinksUpToDate>false</LinksUpToDate>
  <CharactersWithSpaces>1217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2026-07-02T00:49:00Z</dcterms:created>
  <dc:creator>Administrator</dc:creator>
  <cp:lastModifiedBy>梁睿</cp:lastModifiedBy>
  <dcterms:modified xsi:type="dcterms:W3CDTF">2026-07-03T07:40:24Z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eyJoZGlkIjoiM2I0N2M0MjQ4ODc4Nzg3N2RiMjAzNDhhMDQ0NTAwYjIiLCJ1c2VySWQiOiI0MjcwNjcyOTkifQ==</vt:lpwstr>
  </property>
  <property fmtid="{D5CDD505-2E9C-101B-9397-08002B2CF9AE}" pid="4" name="ICV">
    <vt:lpwstr>05C189ADF3DD4028BC793B2B03B3839E_13</vt:lpwstr>
  </property>
</Properties>
</file>