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120" w:line="312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N-Caltech101 SOTA 表深度整理 v3（2026-10-17，逐篇详细讲解扩充版）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来源：用户 2026-10-17 贴的 SOTA 对比表截图（两轮，与 BNN 论文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2610.09873 Table 1、EFV++ IEEE 2024 表 II 及 paper_survey_20261014.md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§3.4 的 40 篇扫描交叉核验一致）。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分梯度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：C 赛道（我们直接对手）逐篇详讲；B 赛道（思想可偷）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中讲；A 赛道（纯协议不可比）简讲但给出可引角度。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每篇统一五要素：**架构机制 → 训练协议 → 数字可信度 → 对我们的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启示 → 论文中的使用方式**。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格式：一级标题四号黑体、正文小四宋体、1.3 倍行距、段前段后 0。</w:t>
      </w:r>
    </w:p>
    <w:p>
      <w:pPr>
        <w:pStyle w:val="Heading2"/>
        <w:spacing w:after="40" w:before="10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赛道分组（看懂这张表的第一步）</w:t>
      </w:r>
    </w:p>
    <w:tbl>
      <w:tblPr>
        <w:tblW w:type="dxa" w:w="9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E8E8E8" w:val="clear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赛道</w:t>
            </w:r>
          </w:p>
        </w:tc>
        <w:tc>
          <w:tcPr>
            <w:tcW w:type="dxa" w:w="2400"/>
            <w:shd w:fill="E8E8E8" w:val="clear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表示形式</w:t>
            </w:r>
          </w:p>
        </w:tc>
        <w:tc>
          <w:tcPr>
            <w:tcW w:type="dxa" w:w="2400"/>
            <w:shd w:fill="E8E8E8" w:val="clear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数字区间</w:t>
            </w:r>
          </w:p>
        </w:tc>
        <w:tc>
          <w:tcPr>
            <w:tcW w:type="dxa" w:w="2400"/>
            <w:shd w:fill="E8E8E8" w:val="clear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我们能比吗</w:t>
            </w:r>
          </w:p>
        </w:tc>
      </w:tr>
      <w:tr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4"/>
                <w:szCs w:val="24"/>
              </w:rPr>
              <w:t xml:space="preserve">A. RGB 预训练/跨模态蒸馏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事件帧/图像 + 大模型预训练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84~98%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⛔ 协议根本不可比（引用分组+脚注）</w:t>
            </w:r>
          </w:p>
        </w:tc>
      </w:tr>
      <w:tr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4"/>
                <w:szCs w:val="24"/>
              </w:rPr>
              <w:t xml:space="preserve">B. SNN/Spiking + 增强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帧化/脉冲表示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45~86%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⛔ 表示不同（但思想可偷）</w:t>
            </w:r>
          </w:p>
        </w:tc>
      </w:tr>
      <w:tr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4"/>
                <w:szCs w:val="24"/>
              </w:rPr>
              <w:t xml:space="preserve">C. point-based from-scratch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事件点云 (t,x,y,p)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≤82.4%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✅ </w:t>
            </w:r>
            <w:r>
              <w:rPr>
                <w:rFonts w:ascii="SimSun" w:cs="SimSun" w:eastAsia="SimSun" w:hAnsi="SimSun"/>
                <w:b/>
                <w:bCs/>
                <w:color w:val="000000"/>
                <w:sz w:val="24"/>
                <w:szCs w:val="24"/>
              </w:rPr>
              <w:t xml:space="preserve">我们的赛道</w:t>
            </w:r>
          </w:p>
        </w:tc>
      </w:tr>
    </w:tbl>
    <w:p>
      <w:pPr>
        <w:pStyle w:val="Heading1"/>
        <w:spacing w:after="60" w:before="120" w:line="312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C 赛道（详讲——我们的直接对手）</w:t>
      </w:r>
    </w:p>
    <w:p>
      <w:pPr>
        <w:pStyle w:val="Heading2"/>
        <w:spacing w:after="40" w:before="10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SECNet — 82.4%（靶子本体，我们 fork 过它的全部代码）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架构机制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（逐层摸过的完整拆解）：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·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输入层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：10240 点事件云，每点 4 通道 (t,x,y,p)，时间戳和空间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坐标归一化到 [0,1]，极性 ±1；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·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骨干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：3 个 stage 递进（中心点 2048→1024→512），每层先用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FPS（最远点采样）选中心点，再为每个中心点找 K=24 个最近邻组成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局部邻域；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·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聚合层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：每层双路并联——空间频率聚合（SFA：对 24 邻居做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空间维 FFT，可学习频域权重）+ 时间频率聚合（TFA：对 2048 个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中心点做时间维 FFT）；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·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门控融合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：conv 支路 × sigmoid(group_conv 支路) 的逐通道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门控——**注意：官方开源代码里 group_conv 是死参数（从未训练），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只有官方 checkpoint 里有它的权重——这是"训练版代码从未公开"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的实锤证据**；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·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分类头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：mean+max 双池化拼接 1080 维 → 256 → 101 三层 MLP；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·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两阶段机制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（82.4 的关键）：Stage-1 是上面的单窗模型，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Stage-2 是独立的跨窗分类器——把同一视频的 3 个 30ms 窗特征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（每窗 1080 维）用 attention 加权后拼接成 3240 维，再过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1024→1024→101 的 MLP。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82.4% 是两阶段合计的数字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训练协议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：62703 训练窗（8709 视频 × 3 固定窗 [35-65ms/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135-165ms/235-265ms] × 3 变体[原窗+crop+reverse_T]）、5226 测试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窗（1742 视频 × 3 窗无增强）、150 epoch、AdamW lr=1e-3、Cosine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退火、batch 32 + 梯度累积、无预训练无蒸馏。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数字可信度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：靶子本体，但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只能逼近不能复现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——我们实测 fork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版收敛到 70.36% acc / 72.56% seq（单窗+投票），官方 82.4 依赖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Stage-2 与官方训练版的独有组件。我们首跑 Stage-2 得到 71.81%，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证明差距主要在：①单窗模型天花板（我们 70.36 vs 官方推断单窗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~72）②数据增强深度（官方 3 变体 vs 我们的配方）③跨窗聚合设计。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对我们的启示（四层拆解）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单窗天花板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：官方 Table 9 的 300ms 简化协议单窗 60.60%——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我们 70.36% 已超它 10pp，双曲选点方向有效性得到量化确认；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Stage-2 增量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：82.4 - 单窗 ≈ 跨窗聚合的价值（官方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attention+拼接 vs 我们投票 71.70 / 概率最大 73.31——聚合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设计仍有 ~9pp 的空间待开采）；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训练配方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：官方 3 变体增强 + 150ep——我们的增强×3 冲刺链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正是对齐这层；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防御点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：官方代码不可复现（GitHub 4 提交全是简化版）——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我们的对比是"协议对齐的直接对比"（学长拍板口径），论文里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明确声明不复现、只对比。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论文中的使用方式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：Table 2 的直接对照行 + 协议分组表的 C 组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锚点 + Related Work 里作为"点云直连路线代表"引用。</w:t>
      </w:r>
    </w:p>
    <w:p>
      <w:pPr>
        <w:pStyle w:val="Heading2"/>
        <w:spacing w:after="40" w:before="10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SpikePoint — 轻量点云路线（学长指定的原始灵感之一）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架构机制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：事件点云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不做任何帧化/体素化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，直接 (t,x,y,p)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四通道进网络。骨干极轻（远小于 SECNet 的 1.9M 参数），核心特色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是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rate coding 密度通道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：统计每个事件所在空间体素内的事件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计数并 log1p 压缩，作为第 5 个输入通道——让嵌入层直接感知局部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激发率（同坐标连续激发=边缘/运动，孤立单发=噪声）。任务定位是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DVS Gesture 动作识别（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不做 N-Caltech101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，注意：本地文件名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标注 ICML 有误，实为 ICLR 2024）。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对我们的启示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轻量叙事可行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：事件领域有效率卖点（我们 1.9M 参数同档）；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密度通道已落地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：我们 LRHyperNet 的 density_channel flag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就是它的实现——若后续实验证明密度通道有效，可直接引用；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赛道确认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：事件点云原生表示路线不止 SECNet 一家，我们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不是孤军；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哲学背书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："点云直连、极简通路"被它验证——是我们纯 MLP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倾向（替换链②⑤步候选骨架）的精神源头。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论文中的使用方式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：Related Work 点云路线段落 + 轻量设计哲学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引用。</w:t>
      </w:r>
    </w:p>
    <w:p>
      <w:pPr>
        <w:pStyle w:val="Heading2"/>
        <w:spacing w:after="40" w:before="10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TTPoint — Transformer 点云近邻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架构机制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：把 Point Transformer 的局部注意力机制移植到事件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点云——FPS 采样 + K 邻域分组后，用注意力替代 SECNet 的傅里叶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聚合做局部信息整合。数字在 82.4 之下（具体值见表内所列）。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对我们的启示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C 赛道竞争者画像：通用骨干（Transformer）直接套事件数据，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没有人做"选点准则"层面的创新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——我们的 G16（六种选点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准则对照）在这个层面是空位，查新确认；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注意力聚合 vs 我们的傅里叶/双曲注意力——ha 链正在验证的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替换方向与它同层（可引作"注意力进事件点云"的先例）。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论文中的使用方式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：Related Work 的 C 组段落（聚合层革新线）。</w:t>
      </w:r>
    </w:p>
    <w:p>
      <w:pPr>
        <w:pStyle w:val="Heading2"/>
        <w:spacing w:after="40" w:before="10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EventMamba — 状态空间模型近邻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架构机制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：把 Mamba（状态空间序列模型）用于事件流——事件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按时间排序成序列，用选择性状态空间扫描捕获长程时序演变。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数字在 82.4 之下。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对我们的启示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时序建模与我们 K=24 邻域互补（它管时间维、我们管空间维+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远程选择）——可引作"时序/空间分维度处理"的旁证；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序列化路线已被占——若替换链⑤步考虑序列化骨干（PTv3 式），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需与它明确区分（我们保留点云直连）。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论文中的使用方式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：Related Work 序列路线段落 + 差异声明。</w:t>
      </w:r>
    </w:p>
    <w:p>
      <w:pPr>
        <w:pStyle w:val="Heading1"/>
        <w:spacing w:after="60" w:before="120" w:line="312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B 赛道（中讲——思想可偷，协议不可比）</w:t>
      </w:r>
    </w:p>
    <w:p>
      <w:pPr>
        <w:pStyle w:val="Heading2"/>
        <w:spacing w:after="40" w:before="10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EventRPG — 85.62（SNN + SLTRP 显著性增强，增益结构的金矿）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架构机制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：两件套——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SNN 骨干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：事件转帧表示（时间窗内的累积事件图），喂给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脉冲神经网络（Spiking Neural Network，脉冲神经元+膜电位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动力学，事件驱动的低功耗计算）；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SLTRP 增强系统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（核心创新）：显著性引导的数据增强——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先对事件流做显著性分析（运动幅度/事件密度高的区域=显著），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然后做保语义变换：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S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tretch（时间拉伸——显著时段变速）、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L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ocal-reverse（局部反转——非显著区域时间翻转）、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TR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imming/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P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adding（裁剪/填充）。关键设计：变换避开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显性区域，保证语义标签不变。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数字结构拆解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（这是我们最该学的）：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· 不加增强的 SNN 基线 ≈ 78-79%；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· 加 SLTRP 后 85.62%——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增强净增益 ≈ 7pp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，占其超越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SECNet（82.4）的全部来源。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对我们的启示（三层，按优先级）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✅✅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佐证增强决策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：事件数据上增强的增益量级实测 7pp——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我们增强×3 冲刺链（crop/reverse/polarity/jitter/dropout）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的方向被这个数字直接背书；若我们的增强增益也达 5pp+，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增强就是与几何组件同量级的主力弹药；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✅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下一站弹药（SLTRP 平移点云）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：显著性思想平移到点云域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= 按事件显著性选点/加权——与 16 点远程选择天然互补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（显著性高的远程点优先入选，噪声点降权）。G16 的 rp1_scorer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（特征距离+空间新颖性）与"显著性"是近亲概念——若 G16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出数后 rp1_scorer 或增强链涨点明显，SLTRP 式增强是增强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深化的第二站；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📝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引用归组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：SNN+增强组（协议表脚注），Related Work 里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作为"事件增强有效性的最强公开证据"引用。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论文中的使用方式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：协议分组表 B 组 + 增强章节的增益量级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参照 + Related Work 增强段落。</w:t>
      </w:r>
    </w:p>
    <w:p>
      <w:pPr>
        <w:pStyle w:val="Heading2"/>
        <w:spacing w:after="40" w:before="10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RIPE-MambaSpike — SSM×SNN 混合（DailyDVS 45.7，N-Caltech 未列）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架构机制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：Spiking-Mamba 混合——脉冲神经元与状态空间扫描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交替堆叠，0.87M 参数。SNN 车道的效率代表（参数量与我们同档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的轻量叙事）。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对我们的启示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：SSM×事件已被占——我们的差异化必须强调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"点云直连 + 几何先验"（不是序列模型路线）；其 0.87M 参数的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效率叙事可对比（我们 1.9M 同为轻量档）。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论文中的使用方式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：协议分组表 B 组脚注 + 效率对比行。</w:t>
      </w:r>
    </w:p>
    <w:p>
      <w:pPr>
        <w:pStyle w:val="Heading2"/>
        <w:spacing w:after="40" w:before="10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LSFormer — Spiking Transformer 局部注意力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架构机制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：脉冲化的 Transformer，把注意力限定在局部窗口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（而非全局）以降低计算量——局部性先验与计算效率的折中设计。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对我们的启示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局部性先验的社区共识——支撑我们 K=24 邻域设计（局部窗口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大小与 K 邻域同属"局部先验"家族）；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局部窗口思想与我们的"局部 KNN + 远程 16 点"互补——可引作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"局部/远程分维度处理"的旁证（它们只做了局部侧，远程侧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是我们的创新位）。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论文中的使用方式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：Related Work 局部性段落引用。</w:t>
      </w:r>
    </w:p>
    <w:p>
      <w:pPr>
        <w:pStyle w:val="Heading2"/>
        <w:spacing w:after="40" w:before="10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SpikeCLR — 对比自监督 SNN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架构机制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：帧域对比学习——事件帧的正负样本对构造 + InfoNCE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损失训练脉冲编码器（自监督预训练，下游微调分类）。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对我们的启示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：确认"双曲 × 对比学习 × 事件"零命中——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SpikeCLR 是普通欧氏对比学习，我们的双曲 contrastive 方向查新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依然成立（若未来走预训练路线，双曲对比是空位）。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论文中的使用方式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：查新声明的对照引用。</w:t>
      </w:r>
    </w:p>
    <w:p>
      <w:pPr>
        <w:pStyle w:val="Heading2"/>
        <w:spacing w:after="40" w:before="10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MorphSNN — 自适应图扩散 SNN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架构机制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：自适应图扩散——事件构图中节点连接强度自适应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学习（不同于固定 kNN 图），扩散过程捕获时空邻域的多尺度关系。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对我们的启示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："自适应图 × 事件"已有近邻（若走图路线需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区分）；我们的 KNN+远程选择是显式双邻域设计，与单尺度自适应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图不同族——查新定位不受影响。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论文中的使用方式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：查新声明的对照引用。</w:t>
      </w:r>
    </w:p>
    <w:p>
      <w:pPr>
        <w:pStyle w:val="Heading1"/>
        <w:spacing w:after="60" w:before="120" w:line="312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A 赛道（简讲——协议不可比，但给出可引角度）</w:t>
      </w:r>
    </w:p>
    <w:p>
      <w:pPr>
        <w:pStyle w:val="Heading2"/>
        <w:spacing w:after="40" w:before="10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TMKT — 97.93 / CKD — 97.13（RGB 跨模态蒸馏族）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架构机制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：48×48 事件帧 + VGG-SNN 骨干 + RGB 域教师蒸馏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（TMKT 是基本框架；CKD 是 cross-knowledge 变体——跨领域知识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蒸馏的加强版）。RGB 图像分类器的软标签作为教师信号灌入事件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学生网络——本质是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借自然图像的先验知识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协议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：帧化 + RGB 预训练 + 蒸馏三重加成——与"from-scratch"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根本不同赛道。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对我们的启示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唯一可偷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：蒸馏框架本身——不用 RGB 教师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也能做自蒸馏（EMA teacher / mean-teacher：训练中维护的滑动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平均模型作为教师，向学生提供一致性正则）。我们 EMA 已在冲刺链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里跑，若 EMA 出口涨点明显，下一步可升级为 mean-teacher 自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蒸馏（文献 +1-2pp）——这是 A 组思想向 C 组平移的合法通道。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论文中的使用方式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：协议分组表 A 组（脚注：RGB 蒸馏）+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蒸馏相关工作引用。</w:t>
      </w:r>
    </w:p>
    <w:p>
      <w:pPr>
        <w:pStyle w:val="Heading2"/>
        <w:spacing w:after="40" w:before="10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GEP ViT-B/16 — 96.47（DINOv2 大预训练）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架构机制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：224×224 事件帧 + ViT-B/16 骨干 + DINOv2 对比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预训练（1.8M 对大规模训练）——大基础模型路线在事件域的应用。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对我们的启示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：预训练上限 96+ 证明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事件信息量本身充足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——我们 71-73 的差距在模型/训练不在数据。这句话给我们的改进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空间提供信心背书：不需要换数据，把模型和配方做好就有 20+pp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的理论空间。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论文中的使用方式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：协议分组表 A 组 + "信息量充足"论据引用。</w:t>
      </w:r>
    </w:p>
    <w:p>
      <w:pPr>
        <w:pStyle w:val="Heading2"/>
        <w:spacing w:after="40" w:before="10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BNN+PBEV — 90.58（已存原文逐条核过，表内"最新"）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架构机制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：三件套——BNext 二值主干（1-bit 量化，极致效率）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+ PEV6 事件帧编码 + EventBind 教师蒸馏；预训练用 ImageNet。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协议陷阱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（Codex 逐条核验过，原文 2610.09873）：Section 4.3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把 EventBind 的 8:2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验证集当 test 用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——评测协议不干净。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对我们的启示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（它最大的价值是"诚实"）：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它自己 Table 1 承认"各家 split 不一致"（"For reported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accuracy, Train/Val sets used by authors are not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inconsistent"）——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我们论文协议分组表的必要性直接引这句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val 当 test 的做法是我们 Stage-2 干净口径设计（val-selected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best + last 主口径）的反面教材——两相对照强化我们的严谨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卖点；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1-bit 量化的效率叙事与我们轻量哲学同向（可对比参数量：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我们 1.9M 全精度 vs BNext 二值）。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论文中的使用方式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：协议分组表 A 组 + 协议乱象证据引用 +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反面教材对照。</w:t>
      </w:r>
    </w:p>
    <w:p>
      <w:pPr>
        <w:pStyle w:val="Heading2"/>
        <w:spacing w:after="40" w:before="10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Chaotic Dynamics — 84.4（预训练 ResNet-34）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架构机制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：ResNet-34（ImageNet 预训练）+ 混沌理论特征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（事件流的非线性动力学表征）。3:1:1 随机 split（seed 2024）——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非官方划分。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对我们的启示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：它表里的 TORE 79.8 / TOKEN 81.6（帧方法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无预训练）可作"帧方法无预训练天花板 ≈ 82"的旁证——我们 C 组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的 82.4 与之吻合，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两条表示路线的天花板在同一量级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（公平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对照的证据）。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论文中的使用方式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：协议分组表 + 帧路线天花板旁证。</w:t>
      </w:r>
    </w:p>
    <w:p>
      <w:pPr>
        <w:pStyle w:val="Heading1"/>
        <w:spacing w:after="60" w:before="120" w:line="312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总账：三句话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赛道隔离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：表内 90+ 全带预训练/蒸馏（A 组）、85.62 是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SNN+增强（B 组）——**point-based from-scratch（C 组）SECNet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82.4 是天花板，超它 = 超整个赛道公开最优**；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最大可偷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：EventRPG 的增强功劳结构（7pp 增益实测）——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增强链方向被背书；SLTRP 显著性平移点云是第二站；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协议武器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：BNN 的 split 乱象自认 + val 当 test 反面教材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   ——论文协议分组与干净口径设计的双重依据。</w:t>
      </w:r>
    </w:p>
    <w:p>
      <w:pPr>
        <w:pStyle w:val="Heading1"/>
        <w:spacing w:after="60" w:before="120" w:line="312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原文存档状态</w:t>
      </w:r>
    </w:p>
    <w:tbl>
      <w:tblPr>
        <w:tblW w:type="dxa" w:w="9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8E8E8" w:val="clear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方法</w:t>
            </w:r>
          </w:p>
        </w:tc>
        <w:tc>
          <w:tcPr>
            <w:tcW w:type="dxa" w:w="3200"/>
            <w:shd w:fill="E8E8E8" w:val="clear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原文</w:t>
            </w:r>
          </w:p>
        </w:tc>
        <w:tc>
          <w:tcPr>
            <w:tcW w:type="dxa" w:w="3200"/>
            <w:shd w:fill="E8E8E8" w:val="clear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位置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BNN+PBEV</w:t>
            </w:r>
          </w:p>
        </w:tc>
        <w:tc>
          <w:tcPr>
            <w:tcW w:type="dxa" w:w="32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✅ 已存（逐条核过）</w:t>
            </w:r>
          </w:p>
        </w:tc>
        <w:tc>
          <w:tcPr>
            <w:tcW w:type="dxa" w:w="32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D:\论文\2610.09873v1.pdf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Chaotic</w:t>
            </w:r>
          </w:p>
        </w:tc>
        <w:tc>
          <w:tcPr>
            <w:tcW w:type="dxa" w:w="32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✅ 已存</w:t>
            </w:r>
          </w:p>
        </w:tc>
        <w:tc>
          <w:tcPr>
            <w:tcW w:type="dxa" w:w="32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D:\论文\2509.26085_ChaoticDynamics.pdf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EFV++</w:t>
            </w:r>
          </w:p>
        </w:tc>
        <w:tc>
          <w:tcPr>
            <w:tcW w:type="dxa" w:w="32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✅ 已存（多帧 TTA 参考）</w:t>
            </w:r>
          </w:p>
        </w:tc>
        <w:tc>
          <w:tcPr>
            <w:tcW w:type="dxa" w:w="32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D:\论文\2406.18845_EFV++_RBE_NCaltech101全范式SOTA.pdf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其余 7 篇</w:t>
            </w:r>
          </w:p>
        </w:tc>
        <w:tc>
          <w:tcPr>
            <w:tcW w:type="dxa" w:w="32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未存</w:t>
            </w:r>
          </w:p>
        </w:tc>
        <w:tc>
          <w:tcPr>
            <w:tcW w:type="dxa" w:w="32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表内信息+交叉调研已覆盖核心，需深读时按名补</w:t>
            </w:r>
          </w:p>
        </w:tc>
      </w:tr>
    </w:tbl>
    <w:p>
      <w:pPr>
        <w:pStyle w:val="Heading1"/>
        <w:spacing w:after="60" w:before="120" w:line="312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附：经典基线方法速览（EFV++ 表 II 对比行，补全截图完整性）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这些是截图/对比表里常见的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经典基线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（多出自 EFV++ IEEE 2024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表 II，协议：6932/1777 全量、多帧输入——与 A 组类似的协议</w:t>
      </w:r>
    </w:p>
    <w:p>
      <w:pPr>
        <w:spacing w:after="0" w:before="0" w:line="312"/>
        <w:ind w:left="400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加成）。已在我们 paper_survey_20261014.md 存档。</w:t>
      </w:r>
    </w:p>
    <w:tbl>
      <w:tblPr>
        <w:tblW w:type="dxa" w:w="9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E8E8E8" w:val="clear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方法</w:t>
            </w:r>
          </w:p>
        </w:tc>
        <w:tc>
          <w:tcPr>
            <w:tcW w:type="dxa" w:w="2400"/>
            <w:shd w:fill="E8E8E8" w:val="clear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acc（EFV++ 协议）</w:t>
            </w:r>
          </w:p>
        </w:tc>
        <w:tc>
          <w:tcPr>
            <w:tcW w:type="dxa" w:w="2400"/>
            <w:shd w:fill="E8E8E8" w:val="clear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架构详解</w:t>
            </w:r>
          </w:p>
        </w:tc>
        <w:tc>
          <w:tcPr>
            <w:tcW w:type="dxa" w:w="2400"/>
            <w:shd w:fill="E8E8E8" w:val="clear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对我们的意义</w:t>
            </w:r>
          </w:p>
        </w:tc>
      </w:tr>
      <w:tr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4"/>
                <w:szCs w:val="24"/>
              </w:rPr>
              <w:t xml:space="preserve">EFV++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4"/>
                <w:szCs w:val="24"/>
              </w:rPr>
              <w:t xml:space="preserve">0.897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事件帧 8×8 token 化 + 多帧输入 + RBE（循环聚合每个 token 的时间演变）+ TTA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帧路线多帧聚合的代表；</w:t>
            </w:r>
            <w:r>
              <w:rPr>
                <w:rFonts w:ascii="SimSun" w:cs="SimSun" w:eastAsia="SimSun" w:hAnsi="SimSun"/>
                <w:b/>
                <w:bCs/>
                <w:color w:val="000000"/>
                <w:sz w:val="24"/>
                <w:szCs w:val="24"/>
              </w:rPr>
              <w:t xml:space="preserve">多帧 TTA 思想可偷</w:t>
            </w: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（零成本推理层——同一模型多次采样推理再聚合，与我们设计的"多 FPS 投票"同族）；本地已存原文</w:t>
            </w:r>
          </w:p>
        </w:tc>
      </w:tr>
      <w:tr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VMV-GCN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0.778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体素化多视角表示 + 图卷积（节点=体素，边=时空邻接）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体素/点云双表示的中间路线（引用即可，表示演化史的体素环节）</w:t>
            </w:r>
          </w:p>
        </w:tc>
      </w:tr>
      <w:tr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EST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0.753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事件时空体素网格（时间×空间分箱）+ CNN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4"/>
                <w:szCs w:val="24"/>
              </w:rPr>
              <w:t xml:space="preserve">体素路线开创者之一</w:t>
            </w: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，Related Work 必引——把连续事件流量化成网格再卷积的经典范式</w:t>
            </w:r>
          </w:p>
        </w:tc>
      </w:tr>
      <w:tr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EV-VGCNN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0.748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事件体素 + 混合 voxel-grid 卷积（体素级+网格级双粒度）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体素族的粒度改良线（引用即可）</w:t>
            </w:r>
          </w:p>
        </w:tc>
      </w:tr>
      <w:tr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M-LSTM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0.738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事件按时序分帧 + LSTM 递归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时序路线最老一代（表示演化史的历史环节）</w:t>
            </w:r>
          </w:p>
        </w:tc>
      </w:tr>
      <w:tr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AMAE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0.694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事件帧 + 掩码自编码器（重建预训练）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表示学习路线（非骨干创新）</w:t>
            </w:r>
          </w:p>
        </w:tc>
      </w:tr>
      <w:tr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MVF-Net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0.687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多视角融合（多个时空尺度的事件图并行 + 融合）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融合思想可参考（与我们的 gated fusion 同层问题）</w:t>
            </w:r>
          </w:p>
        </w:tc>
      </w:tr>
      <w:tr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RG-CNNs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0.657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事件驱动图卷积（Binas 事件表示 + 图连通性传播）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4"/>
                <w:szCs w:val="24"/>
              </w:rPr>
              <w:t xml:space="preserve">图/点云近邻</w:t>
            </w: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——与我们的 KNN/16 点选择同族思想（图结构事件处理先例，Related Work 图路线引用）</w:t>
            </w:r>
          </w:p>
        </w:tc>
      </w:tr>
      <w:tr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HATS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0.642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时间表面活性 + SUR 特征 + 浅层分类器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特征工程时代代表（深度学习前的事件分类天花板，演化史起点）</w:t>
            </w:r>
          </w:p>
        </w:tc>
      </w:tr>
      <w:tr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ResNet-50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0.637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直接帧化 + ImageNet 预训练 CNN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帧化下限参照——</w:t>
            </w:r>
            <w:r>
              <w:rPr>
                <w:rFonts w:ascii="SimSun" w:cs="SimSun" w:eastAsia="SimSun" w:hAnsi="SimSun"/>
                <w:b/>
                <w:bCs/>
                <w:color w:val="000000"/>
                <w:sz w:val="24"/>
                <w:szCs w:val="24"/>
              </w:rPr>
              <w:t xml:space="preserve">预训练也只有 64%，事件帧与自然图像差异大的证据</w:t>
            </w: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（佐证"帧化丢信息"）</w:t>
            </w:r>
          </w:p>
        </w:tc>
      </w:tr>
      <w:tr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EventNet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0.425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早期事件专用浅层网络</w:t>
            </w:r>
          </w:p>
        </w:tc>
        <w:tc>
          <w:tcPr>
            <w:tcW w:type="dxa" w:w="2400"/>
          </w:tcPr>
          <w:p>
            <w:pPr>
              <w:spacing w:after="40" w:before="40" w:line="276"/>
            </w:pPr>
            <w:r>
              <w:rPr>
                <w:rFonts w:ascii="SimSun" w:cs="SimSun" w:eastAsia="SimSun" w:hAnsi="SimSun"/>
                <w:color w:val="000000"/>
                <w:sz w:val="24"/>
                <w:szCs w:val="24"/>
              </w:rPr>
              <w:t xml:space="preserve">历史起点</w:t>
            </w:r>
          </w:p>
        </w:tc>
      </w:tr>
    </w:tbl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演化史叙事线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（论文 Related Work 骨架）：手工特征（HATS）→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体素（EST/EV-VGCNN）→ 图（RG-CNNs/VMV-GCN）→ 帧序列（M-LSTM/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EFV++）→ 帧+SNN（EventRPG 族）→ </w:t>
      </w: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点云直连（SECNet→我们）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——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我们是这条演化链的最新一环，且在"选点准则"层面是全链条的空位。</w:t>
      </w:r>
    </w:p>
    <w:p>
      <w:pPr>
        <w:spacing w:after="0" w:before="0" w:line="312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注意协议</w:t>
      </w:r>
      <w:r>
        <w:rPr>
          <w:rFonts w:ascii="SimSun" w:cs="SimSun" w:eastAsia="SimSun" w:hAnsi="SimSun"/>
          <w:color w:val="000000"/>
          <w:sz w:val="24"/>
          <w:szCs w:val="24"/>
        </w:rPr>
        <w:t xml:space="preserve">：此表 acc 数字全部是 EFV++ 协议（多帧+全量）——与</w:t>
      </w:r>
    </w:p>
    <w:p>
      <w:pPr>
        <w:spacing w:after="0" w:before="0" w:line="312"/>
      </w:pPr>
      <w:r>
        <w:rPr>
          <w:rFonts w:ascii="SimSun" w:cs="SimSun" w:eastAsia="SimSun" w:hAnsi="SimSun"/>
          <w:color w:val="000000"/>
          <w:sz w:val="24"/>
          <w:szCs w:val="24"/>
        </w:rPr>
        <w:t xml:space="preserve">BNN 表一样的协议不可比问题，引用时归"帧/体素/图路线"组。</w:t>
      </w:r>
    </w:p>
    <w:sectPr>
      <w:pgSz w:w="11906" w:h="16838" w:orient="portrait"/>
      <w:pgMar w:top="1417" w:right="1700" w:bottom="1417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2026-10-17T09:46:12.356Z</dcterms:created>
  <dcterms:modified xsi:type="dcterms:W3CDTF">2026-10-17T09:46:12.358Z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