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맑은 고딕" w:hAnsi="맑은 고딕" w:eastAsia="맑은 고딕"/>
          <w:b/>
          <w:i w:val="0"/>
          <w:color w:val="1F3A5F"/>
          <w:sz w:val="44"/>
        </w:rPr>
        <w:t>국내 증시 상한가 분석 리포트</w:t>
      </w:r>
    </w:p>
    <w:p>
      <w:pPr>
        <w:spacing w:after="160"/>
      </w:pPr>
      <w:r>
        <w:rPr>
          <w:rFonts w:ascii="맑은 고딕" w:hAnsi="맑은 고딕" w:eastAsia="맑은 고딕"/>
          <w:b/>
          <w:i w:val="0"/>
          <w:color w:val="1F3A5F"/>
          <w:sz w:val="26"/>
        </w:rPr>
        <w:t>코스피 상한가 상위 5종목</w:t>
      </w:r>
    </w:p>
    <w:p>
      <w:pPr>
        <w:pBdr>
          <w:bottom w:val="single" w:sz="6" w:space="4" w:color="1F3A5F"/>
        </w:pBdr>
        <w:spacing w:after="160"/>
      </w:pPr>
    </w:p>
    <w:p>
      <w:pPr>
        <w:spacing w:after="20"/>
      </w:pPr>
      <w:r>
        <w:rPr>
          <w:rFonts w:ascii="맑은 고딕" w:hAnsi="맑은 고딕" w:eastAsia="맑은 고딕"/>
          <w:b/>
          <w:i w:val="0"/>
          <w:color w:val="1F3A5F"/>
          <w:sz w:val="19"/>
        </w:rPr>
        <w:t xml:space="preserve">기준일  </w:t>
      </w:r>
      <w:r>
        <w:rPr>
          <w:rFonts w:ascii="맑은 고딕" w:hAnsi="맑은 고딕" w:eastAsia="맑은 고딕"/>
          <w:b w:val="0"/>
          <w:i w:val="0"/>
          <w:color w:val="222222"/>
          <w:sz w:val="19"/>
        </w:rPr>
        <w:t>2026년 7월 22일 (수) 장 종료 기준</w:t>
      </w:r>
    </w:p>
    <w:p>
      <w:pPr>
        <w:spacing w:after="20"/>
      </w:pPr>
      <w:r>
        <w:rPr>
          <w:rFonts w:ascii="맑은 고딕" w:hAnsi="맑은 고딕" w:eastAsia="맑은 고딕"/>
          <w:b/>
          <w:i w:val="0"/>
          <w:color w:val="1F3A5F"/>
          <w:sz w:val="19"/>
        </w:rPr>
        <w:t xml:space="preserve">데이터 출처  </w:t>
      </w:r>
      <w:r>
        <w:rPr>
          <w:rFonts w:ascii="맑은 고딕" w:hAnsi="맑은 고딕" w:eastAsia="맑은 고딕"/>
          <w:b w:val="0"/>
          <w:i w:val="0"/>
          <w:color w:val="222222"/>
          <w:sz w:val="19"/>
        </w:rPr>
        <w:t>다음 금융(m.finance.daum.net) 국내 특징주 — 상한가 / 상승 페이지</w:t>
      </w:r>
    </w:p>
    <w:p>
      <w:pPr>
        <w:spacing w:after="20"/>
      </w:pPr>
      <w:r>
        <w:rPr>
          <w:rFonts w:ascii="맑은 고딕" w:hAnsi="맑은 고딕" w:eastAsia="맑은 고딕"/>
          <w:b/>
          <w:i w:val="0"/>
          <w:color w:val="1F3A5F"/>
          <w:sz w:val="19"/>
        </w:rPr>
        <w:t xml:space="preserve">대상  </w:t>
      </w:r>
      <w:r>
        <w:rPr>
          <w:rFonts w:ascii="맑은 고딕" w:hAnsi="맑은 고딕" w:eastAsia="맑은 고딕"/>
          <w:b w:val="0"/>
          <w:i w:val="0"/>
          <w:color w:val="222222"/>
          <w:sz w:val="19"/>
        </w:rPr>
        <w:t>국내 증시 일간 동향을 점검하는 투자자 및 실무 담당자</w:t>
      </w:r>
    </w:p>
    <w:p>
      <w:pPr>
        <w:spacing w:after="20"/>
      </w:pPr>
      <w:r>
        <w:rPr>
          <w:rFonts w:ascii="맑은 고딕" w:hAnsi="맑은 고딕" w:eastAsia="맑은 고딕"/>
          <w:b/>
          <w:i w:val="0"/>
          <w:color w:val="1F3A5F"/>
          <w:sz w:val="19"/>
        </w:rPr>
        <w:t xml:space="preserve">작성  </w:t>
      </w:r>
      <w:r>
        <w:rPr>
          <w:rFonts w:ascii="맑은 고딕" w:hAnsi="맑은 고딕" w:eastAsia="맑은 고딕"/>
          <w:b w:val="0"/>
          <w:i w:val="0"/>
          <w:color w:val="222222"/>
          <w:sz w:val="19"/>
        </w:rPr>
        <w:t>자동 리포트 생성 (예약 실행)</w:t>
      </w:r>
    </w:p>
    <w:p>
      <w:pPr>
        <w:spacing w:before="120"/>
      </w:pPr>
      <w:r>
        <w:rPr>
          <w:rFonts w:ascii="맑은 고딕" w:hAnsi="맑은 고딕" w:eastAsia="맑은 고딕"/>
          <w:b w:val="0"/>
          <w:i/>
          <w:color w:val="6E6E6E"/>
          <w:sz w:val="18"/>
        </w:rPr>
        <w:t>※ 본 리포트는 정보 제공을 목적으로 하며, 특정 종목의 매수·매도를 권유하지 않습니다.</w:t>
      </w:r>
    </w:p>
    <w:p>
      <w:pPr>
        <w:spacing w:before="320" w:after="40"/>
        <w:pBdr>
          <w:bottom w:val="single" w:sz="12" w:space="4" w:color="1F3A5F"/>
        </w:pBdr>
      </w:pPr>
      <w:r>
        <w:rPr>
          <w:rFonts w:ascii="맑은 고딕" w:hAnsi="맑은 고딕" w:eastAsia="맑은 고딕"/>
          <w:b/>
          <w:i w:val="0"/>
          <w:color w:val="1F3A5F"/>
          <w:sz w:val="30"/>
        </w:rPr>
        <w:t>1. 요약 (Executive Summary)</w:t>
      </w:r>
    </w:p>
    <w:p>
      <w:pPr>
        <w:spacing w:after="120" w:line="312" w:lineRule="auto"/>
      </w:pPr>
      <w:r>
        <w:rPr>
          <w:rFonts w:ascii="맑은 고딕" w:hAnsi="맑은 고딕" w:eastAsia="맑은 고딕"/>
          <w:b w:val="0"/>
          <w:i w:val="0"/>
          <w:color w:val="222222"/>
          <w:sz w:val="21"/>
        </w:rPr>
        <w:t>2026년 7월 22일 코스피 시장에서 가격제한폭 상단(+30%)에 도달한 상한가 종목은 단 한 종목도 없었다. 같은 날 코스닥에서는 카티스(+29.97%), 코스모로보틱스(+29.96%), 휴림에이텍(+29.95%) 등 14개 종목이 상한가에 진입해, 극단적 급등은 중소형 성장주 중심의 코스닥에 집중되고 코스피는 상대적으로 안정적인 흐름을 보였다.</w:t>
      </w:r>
    </w:p>
    <w:p>
      <w:pPr>
        <w:spacing w:after="120" w:line="312" w:lineRule="auto"/>
      </w:pPr>
      <w:r>
        <w:rPr>
          <w:rFonts w:ascii="맑은 고딕" w:hAnsi="맑은 고딕" w:eastAsia="맑은 고딕"/>
          <w:b w:val="0"/>
          <w:i w:val="0"/>
          <w:color w:val="222222"/>
          <w:sz w:val="21"/>
        </w:rPr>
        <w:t>따라서 본 리포트는 상한가 종목 대신 당일 코스피 상승률 상위 종목(ETF·ETN 제외)을 대상으로 분석했다. 1위는 STX그린로지스(+24.19%)였고, 가온전선(+15.68%), GS건설(+13.67%), SGC에너지(+12.19%), 두산2우B(+11.18%)가 뒤를 이었다. 상한가에는 미치지 못했으나 모두 두 자릿수 급등으로, 코스피 내에서도 특정 테마에 자금이 뚜렷하게 쏠렸음을 보여준다.</w:t>
      </w:r>
    </w:p>
    <w:p>
      <w:pPr>
        <w:spacing w:after="120" w:line="312" w:lineRule="auto"/>
      </w:pPr>
      <w:r>
        <w:rPr>
          <w:rFonts w:ascii="맑은 고딕" w:hAnsi="맑은 고딕" w:eastAsia="맑은 고딕"/>
          <w:b w:val="0"/>
          <w:i w:val="0"/>
          <w:color w:val="222222"/>
          <w:sz w:val="21"/>
        </w:rPr>
        <w:t>테마 측면에서는 중동 정세와 국제 유가에 연동된 해운·에너지 섹터, AI 데이터센터 전력 수요를 배경으로 한 전력 인프라·전선 섹터가 양대 축을 형성했다. 당일 코스피 상승률 상위권에는 WTI원유 레버리지 ETN이 다수 포진했고, 휴머노이드 로봇 관련 ETF도 10% 이상 올라 유가와 로봇이라는 두 개의 별도 흐름이 동시에 작동했다.</w:t>
      </w:r>
    </w:p>
    <w:p>
      <w:pPr>
        <w:spacing w:before="320" w:after="40"/>
        <w:pBdr>
          <w:bottom w:val="single" w:sz="12" w:space="4" w:color="1F3A5F"/>
        </w:pBdr>
      </w:pPr>
      <w:r>
        <w:rPr>
          <w:rFonts w:ascii="맑은 고딕" w:hAnsi="맑은 고딕" w:eastAsia="맑은 고딕"/>
          <w:b/>
          <w:i w:val="0"/>
          <w:color w:val="1F3A5F"/>
          <w:sz w:val="30"/>
        </w:rPr>
        <w:t>2. 오늘의 상한가 상위 5종목</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1F3A5F"/>
          </w:tcPr>
          <w:p>
            <w:pPr>
              <w:jc w:val="center"/>
            </w:pPr>
            <w:r>
              <w:rPr>
                <w:rFonts w:ascii="맑은 고딕" w:hAnsi="맑은 고딕" w:eastAsia="맑은 고딕"/>
                <w:b/>
                <w:i w:val="0"/>
                <w:color w:val="FFFFFF"/>
                <w:sz w:val="19"/>
              </w:rPr>
              <w:t>순위</w:t>
            </w:r>
          </w:p>
        </w:tc>
        <w:tc>
          <w:tcPr>
            <w:tcW w:type="dxa" w:w="1608"/>
            <w:shd w:val="clear" w:color="auto" w:fill="1F3A5F"/>
          </w:tcPr>
          <w:p>
            <w:pPr>
              <w:jc w:val="center"/>
            </w:pPr>
            <w:r>
              <w:rPr>
                <w:rFonts w:ascii="맑은 고딕" w:hAnsi="맑은 고딕" w:eastAsia="맑은 고딕"/>
                <w:b/>
                <w:i w:val="0"/>
                <w:color w:val="FFFFFF"/>
                <w:sz w:val="19"/>
              </w:rPr>
              <w:t>종목명</w:t>
            </w:r>
          </w:p>
        </w:tc>
        <w:tc>
          <w:tcPr>
            <w:tcW w:type="dxa" w:w="1608"/>
            <w:shd w:val="clear" w:color="auto" w:fill="1F3A5F"/>
          </w:tcPr>
          <w:p>
            <w:pPr>
              <w:jc w:val="center"/>
            </w:pPr>
            <w:r>
              <w:rPr>
                <w:rFonts w:ascii="맑은 고딕" w:hAnsi="맑은 고딕" w:eastAsia="맑은 고딕"/>
                <w:b/>
                <w:i w:val="0"/>
                <w:color w:val="FFFFFF"/>
                <w:sz w:val="19"/>
              </w:rPr>
              <w:t>시장</w:t>
            </w:r>
          </w:p>
        </w:tc>
        <w:tc>
          <w:tcPr>
            <w:tcW w:type="dxa" w:w="1608"/>
            <w:shd w:val="clear" w:color="auto" w:fill="1F3A5F"/>
          </w:tcPr>
          <w:p>
            <w:pPr>
              <w:jc w:val="center"/>
            </w:pPr>
            <w:r>
              <w:rPr>
                <w:rFonts w:ascii="맑은 고딕" w:hAnsi="맑은 고딕" w:eastAsia="맑은 고딕"/>
                <w:b/>
                <w:i w:val="0"/>
                <w:color w:val="FFFFFF"/>
                <w:sz w:val="19"/>
              </w:rPr>
              <w:t>현재가(원)</w:t>
            </w:r>
          </w:p>
        </w:tc>
        <w:tc>
          <w:tcPr>
            <w:tcW w:type="dxa" w:w="1608"/>
            <w:shd w:val="clear" w:color="auto" w:fill="1F3A5F"/>
          </w:tcPr>
          <w:p>
            <w:pPr>
              <w:jc w:val="center"/>
            </w:pPr>
            <w:r>
              <w:rPr>
                <w:rFonts w:ascii="맑은 고딕" w:hAnsi="맑은 고딕" w:eastAsia="맑은 고딕"/>
                <w:b/>
                <w:i w:val="0"/>
                <w:color w:val="FFFFFF"/>
                <w:sz w:val="19"/>
              </w:rPr>
              <w:t>전일비</w:t>
            </w:r>
          </w:p>
        </w:tc>
        <w:tc>
          <w:tcPr>
            <w:tcW w:type="dxa" w:w="1608"/>
            <w:shd w:val="clear" w:color="auto" w:fill="1F3A5F"/>
          </w:tcPr>
          <w:p>
            <w:pPr>
              <w:jc w:val="center"/>
            </w:pPr>
            <w:r>
              <w:rPr>
                <w:rFonts w:ascii="맑은 고딕" w:hAnsi="맑은 고딕" w:eastAsia="맑은 고딕"/>
                <w:b/>
                <w:i w:val="0"/>
                <w:color w:val="FFFFFF"/>
                <w:sz w:val="19"/>
              </w:rPr>
              <w:t>등락률</w:t>
            </w:r>
          </w:p>
        </w:tc>
      </w:tr>
      <w:tr>
        <w:tc>
          <w:tcPr>
            <w:tcW w:type="dxa" w:w="1608"/>
          </w:tcPr>
          <w:p>
            <w:pPr>
              <w:jc w:val="center"/>
            </w:pPr>
            <w:r>
              <w:rPr>
                <w:rFonts w:ascii="맑은 고딕" w:hAnsi="맑은 고딕" w:eastAsia="맑은 고딕"/>
                <w:b w:val="0"/>
                <w:i w:val="0"/>
                <w:color w:val="222222"/>
                <w:sz w:val="19"/>
              </w:rPr>
              <w:t>1</w:t>
            </w:r>
          </w:p>
        </w:tc>
        <w:tc>
          <w:tcPr>
            <w:tcW w:type="dxa" w:w="1608"/>
          </w:tcPr>
          <w:p>
            <w:pPr>
              <w:jc w:val="left"/>
            </w:pPr>
            <w:r>
              <w:rPr>
                <w:rFonts w:ascii="맑은 고딕" w:hAnsi="맑은 고딕" w:eastAsia="맑은 고딕"/>
                <w:b/>
                <w:i w:val="0"/>
                <w:color w:val="222222"/>
                <w:sz w:val="19"/>
              </w:rPr>
              <w:t>STX그린로지스</w:t>
            </w:r>
          </w:p>
        </w:tc>
        <w:tc>
          <w:tcPr>
            <w:tcW w:type="dxa" w:w="1608"/>
          </w:tcPr>
          <w:p>
            <w:pPr>
              <w:jc w:val="center"/>
            </w:pPr>
            <w:r>
              <w:rPr>
                <w:rFonts w:ascii="맑은 고딕" w:hAnsi="맑은 고딕" w:eastAsia="맑은 고딕"/>
                <w:b w:val="0"/>
                <w:i w:val="0"/>
                <w:color w:val="222222"/>
                <w:sz w:val="19"/>
              </w:rPr>
              <w:t>코스피</w:t>
            </w:r>
          </w:p>
        </w:tc>
        <w:tc>
          <w:tcPr>
            <w:tcW w:type="dxa" w:w="1608"/>
          </w:tcPr>
          <w:p>
            <w:pPr>
              <w:jc w:val="center"/>
            </w:pPr>
            <w:r>
              <w:rPr>
                <w:rFonts w:ascii="맑은 고딕" w:hAnsi="맑은 고딕" w:eastAsia="맑은 고딕"/>
                <w:b w:val="0"/>
                <w:i w:val="0"/>
                <w:color w:val="222222"/>
                <w:sz w:val="19"/>
              </w:rPr>
              <w:t>4,955</w:t>
            </w:r>
          </w:p>
        </w:tc>
        <w:tc>
          <w:tcPr>
            <w:tcW w:type="dxa" w:w="1608"/>
          </w:tcPr>
          <w:p>
            <w:pPr>
              <w:jc w:val="center"/>
            </w:pPr>
            <w:r>
              <w:rPr>
                <w:rFonts w:ascii="맑은 고딕" w:hAnsi="맑은 고딕" w:eastAsia="맑은 고딕"/>
                <w:b/>
                <w:i w:val="0"/>
                <w:color w:val="C01E1E"/>
                <w:sz w:val="19"/>
              </w:rPr>
              <w:t>+965</w:t>
            </w:r>
          </w:p>
        </w:tc>
        <w:tc>
          <w:tcPr>
            <w:tcW w:type="dxa" w:w="1608"/>
          </w:tcPr>
          <w:p>
            <w:pPr>
              <w:jc w:val="center"/>
            </w:pPr>
            <w:r>
              <w:rPr>
                <w:rFonts w:ascii="맑은 고딕" w:hAnsi="맑은 고딕" w:eastAsia="맑은 고딕"/>
                <w:b/>
                <w:i w:val="0"/>
                <w:color w:val="C01E1E"/>
                <w:sz w:val="19"/>
              </w:rPr>
              <w:t>+24.19%</w:t>
            </w:r>
          </w:p>
        </w:tc>
      </w:tr>
      <w:tr>
        <w:tc>
          <w:tcPr>
            <w:tcW w:type="dxa" w:w="1608"/>
            <w:shd w:val="clear" w:color="auto" w:fill="F2F5F9"/>
          </w:tcPr>
          <w:p>
            <w:pPr>
              <w:jc w:val="center"/>
            </w:pPr>
            <w:r>
              <w:rPr>
                <w:rFonts w:ascii="맑은 고딕" w:hAnsi="맑은 고딕" w:eastAsia="맑은 고딕"/>
                <w:b w:val="0"/>
                <w:i w:val="0"/>
                <w:color w:val="222222"/>
                <w:sz w:val="19"/>
              </w:rPr>
              <w:t>2</w:t>
            </w:r>
          </w:p>
        </w:tc>
        <w:tc>
          <w:tcPr>
            <w:tcW w:type="dxa" w:w="1608"/>
            <w:shd w:val="clear" w:color="auto" w:fill="F2F5F9"/>
          </w:tcPr>
          <w:p>
            <w:pPr>
              <w:jc w:val="left"/>
            </w:pPr>
            <w:r>
              <w:rPr>
                <w:rFonts w:ascii="맑은 고딕" w:hAnsi="맑은 고딕" w:eastAsia="맑은 고딕"/>
                <w:b/>
                <w:i w:val="0"/>
                <w:color w:val="222222"/>
                <w:sz w:val="19"/>
              </w:rPr>
              <w:t>가온전선</w:t>
            </w:r>
          </w:p>
        </w:tc>
        <w:tc>
          <w:tcPr>
            <w:tcW w:type="dxa" w:w="1608"/>
            <w:shd w:val="clear" w:color="auto" w:fill="F2F5F9"/>
          </w:tcPr>
          <w:p>
            <w:pPr>
              <w:jc w:val="center"/>
            </w:pPr>
            <w:r>
              <w:rPr>
                <w:rFonts w:ascii="맑은 고딕" w:hAnsi="맑은 고딕" w:eastAsia="맑은 고딕"/>
                <w:b w:val="0"/>
                <w:i w:val="0"/>
                <w:color w:val="222222"/>
                <w:sz w:val="19"/>
              </w:rPr>
              <w:t>코스피</w:t>
            </w:r>
          </w:p>
        </w:tc>
        <w:tc>
          <w:tcPr>
            <w:tcW w:type="dxa" w:w="1608"/>
            <w:shd w:val="clear" w:color="auto" w:fill="F2F5F9"/>
          </w:tcPr>
          <w:p>
            <w:pPr>
              <w:jc w:val="center"/>
            </w:pPr>
            <w:r>
              <w:rPr>
                <w:rFonts w:ascii="맑은 고딕" w:hAnsi="맑은 고딕" w:eastAsia="맑은 고딕"/>
                <w:b w:val="0"/>
                <w:i w:val="0"/>
                <w:color w:val="222222"/>
                <w:sz w:val="19"/>
              </w:rPr>
              <w:t>209,500</w:t>
            </w:r>
          </w:p>
        </w:tc>
        <w:tc>
          <w:tcPr>
            <w:tcW w:type="dxa" w:w="1608"/>
            <w:shd w:val="clear" w:color="auto" w:fill="F2F5F9"/>
          </w:tcPr>
          <w:p>
            <w:pPr>
              <w:jc w:val="center"/>
            </w:pPr>
            <w:r>
              <w:rPr>
                <w:rFonts w:ascii="맑은 고딕" w:hAnsi="맑은 고딕" w:eastAsia="맑은 고딕"/>
                <w:b/>
                <w:i w:val="0"/>
                <w:color w:val="C01E1E"/>
                <w:sz w:val="19"/>
              </w:rPr>
              <w:t>+28,400</w:t>
            </w:r>
          </w:p>
        </w:tc>
        <w:tc>
          <w:tcPr>
            <w:tcW w:type="dxa" w:w="1608"/>
            <w:shd w:val="clear" w:color="auto" w:fill="F2F5F9"/>
          </w:tcPr>
          <w:p>
            <w:pPr>
              <w:jc w:val="center"/>
            </w:pPr>
            <w:r>
              <w:rPr>
                <w:rFonts w:ascii="맑은 고딕" w:hAnsi="맑은 고딕" w:eastAsia="맑은 고딕"/>
                <w:b/>
                <w:i w:val="0"/>
                <w:color w:val="C01E1E"/>
                <w:sz w:val="19"/>
              </w:rPr>
              <w:t>+15.68%</w:t>
            </w:r>
          </w:p>
        </w:tc>
      </w:tr>
      <w:tr>
        <w:tc>
          <w:tcPr>
            <w:tcW w:type="dxa" w:w="1608"/>
          </w:tcPr>
          <w:p>
            <w:pPr>
              <w:jc w:val="center"/>
            </w:pPr>
            <w:r>
              <w:rPr>
                <w:rFonts w:ascii="맑은 고딕" w:hAnsi="맑은 고딕" w:eastAsia="맑은 고딕"/>
                <w:b w:val="0"/>
                <w:i w:val="0"/>
                <w:color w:val="222222"/>
                <w:sz w:val="19"/>
              </w:rPr>
              <w:t>3</w:t>
            </w:r>
          </w:p>
        </w:tc>
        <w:tc>
          <w:tcPr>
            <w:tcW w:type="dxa" w:w="1608"/>
          </w:tcPr>
          <w:p>
            <w:pPr>
              <w:jc w:val="left"/>
            </w:pPr>
            <w:r>
              <w:rPr>
                <w:rFonts w:ascii="맑은 고딕" w:hAnsi="맑은 고딕" w:eastAsia="맑은 고딕"/>
                <w:b/>
                <w:i w:val="0"/>
                <w:color w:val="222222"/>
                <w:sz w:val="19"/>
              </w:rPr>
              <w:t>GS건설</w:t>
            </w:r>
          </w:p>
        </w:tc>
        <w:tc>
          <w:tcPr>
            <w:tcW w:type="dxa" w:w="1608"/>
          </w:tcPr>
          <w:p>
            <w:pPr>
              <w:jc w:val="center"/>
            </w:pPr>
            <w:r>
              <w:rPr>
                <w:rFonts w:ascii="맑은 고딕" w:hAnsi="맑은 고딕" w:eastAsia="맑은 고딕"/>
                <w:b w:val="0"/>
                <w:i w:val="0"/>
                <w:color w:val="222222"/>
                <w:sz w:val="19"/>
              </w:rPr>
              <w:t>코스피</w:t>
            </w:r>
          </w:p>
        </w:tc>
        <w:tc>
          <w:tcPr>
            <w:tcW w:type="dxa" w:w="1608"/>
          </w:tcPr>
          <w:p>
            <w:pPr>
              <w:jc w:val="center"/>
            </w:pPr>
            <w:r>
              <w:rPr>
                <w:rFonts w:ascii="맑은 고딕" w:hAnsi="맑은 고딕" w:eastAsia="맑은 고딕"/>
                <w:b w:val="0"/>
                <w:i w:val="0"/>
                <w:color w:val="222222"/>
                <w:sz w:val="19"/>
              </w:rPr>
              <w:t>29,100</w:t>
            </w:r>
          </w:p>
        </w:tc>
        <w:tc>
          <w:tcPr>
            <w:tcW w:type="dxa" w:w="1608"/>
          </w:tcPr>
          <w:p>
            <w:pPr>
              <w:jc w:val="center"/>
            </w:pPr>
            <w:r>
              <w:rPr>
                <w:rFonts w:ascii="맑은 고딕" w:hAnsi="맑은 고딕" w:eastAsia="맑은 고딕"/>
                <w:b/>
                <w:i w:val="0"/>
                <w:color w:val="C01E1E"/>
                <w:sz w:val="19"/>
              </w:rPr>
              <w:t>+3,500</w:t>
            </w:r>
          </w:p>
        </w:tc>
        <w:tc>
          <w:tcPr>
            <w:tcW w:type="dxa" w:w="1608"/>
          </w:tcPr>
          <w:p>
            <w:pPr>
              <w:jc w:val="center"/>
            </w:pPr>
            <w:r>
              <w:rPr>
                <w:rFonts w:ascii="맑은 고딕" w:hAnsi="맑은 고딕" w:eastAsia="맑은 고딕"/>
                <w:b/>
                <w:i w:val="0"/>
                <w:color w:val="C01E1E"/>
                <w:sz w:val="19"/>
              </w:rPr>
              <w:t>+13.67%</w:t>
            </w:r>
          </w:p>
        </w:tc>
      </w:tr>
      <w:tr>
        <w:tc>
          <w:tcPr>
            <w:tcW w:type="dxa" w:w="1608"/>
            <w:shd w:val="clear" w:color="auto" w:fill="F2F5F9"/>
          </w:tcPr>
          <w:p>
            <w:pPr>
              <w:jc w:val="center"/>
            </w:pPr>
            <w:r>
              <w:rPr>
                <w:rFonts w:ascii="맑은 고딕" w:hAnsi="맑은 고딕" w:eastAsia="맑은 고딕"/>
                <w:b w:val="0"/>
                <w:i w:val="0"/>
                <w:color w:val="222222"/>
                <w:sz w:val="19"/>
              </w:rPr>
              <w:t>4</w:t>
            </w:r>
          </w:p>
        </w:tc>
        <w:tc>
          <w:tcPr>
            <w:tcW w:type="dxa" w:w="1608"/>
            <w:shd w:val="clear" w:color="auto" w:fill="F2F5F9"/>
          </w:tcPr>
          <w:p>
            <w:pPr>
              <w:jc w:val="left"/>
            </w:pPr>
            <w:r>
              <w:rPr>
                <w:rFonts w:ascii="맑은 고딕" w:hAnsi="맑은 고딕" w:eastAsia="맑은 고딕"/>
                <w:b/>
                <w:i w:val="0"/>
                <w:color w:val="222222"/>
                <w:sz w:val="19"/>
              </w:rPr>
              <w:t>SGC에너지</w:t>
            </w:r>
          </w:p>
        </w:tc>
        <w:tc>
          <w:tcPr>
            <w:tcW w:type="dxa" w:w="1608"/>
            <w:shd w:val="clear" w:color="auto" w:fill="F2F5F9"/>
          </w:tcPr>
          <w:p>
            <w:pPr>
              <w:jc w:val="center"/>
            </w:pPr>
            <w:r>
              <w:rPr>
                <w:rFonts w:ascii="맑은 고딕" w:hAnsi="맑은 고딕" w:eastAsia="맑은 고딕"/>
                <w:b w:val="0"/>
                <w:i w:val="0"/>
                <w:color w:val="222222"/>
                <w:sz w:val="19"/>
              </w:rPr>
              <w:t>코스피</w:t>
            </w:r>
          </w:p>
        </w:tc>
        <w:tc>
          <w:tcPr>
            <w:tcW w:type="dxa" w:w="1608"/>
            <w:shd w:val="clear" w:color="auto" w:fill="F2F5F9"/>
          </w:tcPr>
          <w:p>
            <w:pPr>
              <w:jc w:val="center"/>
            </w:pPr>
            <w:r>
              <w:rPr>
                <w:rFonts w:ascii="맑은 고딕" w:hAnsi="맑은 고딕" w:eastAsia="맑은 고딕"/>
                <w:b w:val="0"/>
                <w:i w:val="0"/>
                <w:color w:val="222222"/>
                <w:sz w:val="19"/>
              </w:rPr>
              <w:t>42,350</w:t>
            </w:r>
          </w:p>
        </w:tc>
        <w:tc>
          <w:tcPr>
            <w:tcW w:type="dxa" w:w="1608"/>
            <w:shd w:val="clear" w:color="auto" w:fill="F2F5F9"/>
          </w:tcPr>
          <w:p>
            <w:pPr>
              <w:jc w:val="center"/>
            </w:pPr>
            <w:r>
              <w:rPr>
                <w:rFonts w:ascii="맑은 고딕" w:hAnsi="맑은 고딕" w:eastAsia="맑은 고딕"/>
                <w:b/>
                <w:i w:val="0"/>
                <w:color w:val="C01E1E"/>
                <w:sz w:val="19"/>
              </w:rPr>
              <w:t>+4,600</w:t>
            </w:r>
          </w:p>
        </w:tc>
        <w:tc>
          <w:tcPr>
            <w:tcW w:type="dxa" w:w="1608"/>
            <w:shd w:val="clear" w:color="auto" w:fill="F2F5F9"/>
          </w:tcPr>
          <w:p>
            <w:pPr>
              <w:jc w:val="center"/>
            </w:pPr>
            <w:r>
              <w:rPr>
                <w:rFonts w:ascii="맑은 고딕" w:hAnsi="맑은 고딕" w:eastAsia="맑은 고딕"/>
                <w:b/>
                <w:i w:val="0"/>
                <w:color w:val="C01E1E"/>
                <w:sz w:val="19"/>
              </w:rPr>
              <w:t>+12.19%</w:t>
            </w:r>
          </w:p>
        </w:tc>
      </w:tr>
      <w:tr>
        <w:tc>
          <w:tcPr>
            <w:tcW w:type="dxa" w:w="1608"/>
          </w:tcPr>
          <w:p>
            <w:pPr>
              <w:jc w:val="center"/>
            </w:pPr>
            <w:r>
              <w:rPr>
                <w:rFonts w:ascii="맑은 고딕" w:hAnsi="맑은 고딕" w:eastAsia="맑은 고딕"/>
                <w:b w:val="0"/>
                <w:i w:val="0"/>
                <w:color w:val="222222"/>
                <w:sz w:val="19"/>
              </w:rPr>
              <w:t>5</w:t>
            </w:r>
          </w:p>
        </w:tc>
        <w:tc>
          <w:tcPr>
            <w:tcW w:type="dxa" w:w="1608"/>
          </w:tcPr>
          <w:p>
            <w:pPr>
              <w:jc w:val="left"/>
            </w:pPr>
            <w:r>
              <w:rPr>
                <w:rFonts w:ascii="맑은 고딕" w:hAnsi="맑은 고딕" w:eastAsia="맑은 고딕"/>
                <w:b/>
                <w:i w:val="0"/>
                <w:color w:val="222222"/>
                <w:sz w:val="19"/>
              </w:rPr>
              <w:t>두산2우B</w:t>
            </w:r>
          </w:p>
        </w:tc>
        <w:tc>
          <w:tcPr>
            <w:tcW w:type="dxa" w:w="1608"/>
          </w:tcPr>
          <w:p>
            <w:pPr>
              <w:jc w:val="center"/>
            </w:pPr>
            <w:r>
              <w:rPr>
                <w:rFonts w:ascii="맑은 고딕" w:hAnsi="맑은 고딕" w:eastAsia="맑은 고딕"/>
                <w:b w:val="0"/>
                <w:i w:val="0"/>
                <w:color w:val="222222"/>
                <w:sz w:val="19"/>
              </w:rPr>
              <w:t>코스피</w:t>
            </w:r>
          </w:p>
        </w:tc>
        <w:tc>
          <w:tcPr>
            <w:tcW w:type="dxa" w:w="1608"/>
          </w:tcPr>
          <w:p>
            <w:pPr>
              <w:jc w:val="center"/>
            </w:pPr>
            <w:r>
              <w:rPr>
                <w:rFonts w:ascii="맑은 고딕" w:hAnsi="맑은 고딕" w:eastAsia="맑은 고딕"/>
                <w:b w:val="0"/>
                <w:i w:val="0"/>
                <w:color w:val="222222"/>
                <w:sz w:val="19"/>
              </w:rPr>
              <w:t>348,000</w:t>
            </w:r>
          </w:p>
        </w:tc>
        <w:tc>
          <w:tcPr>
            <w:tcW w:type="dxa" w:w="1608"/>
          </w:tcPr>
          <w:p>
            <w:pPr>
              <w:jc w:val="center"/>
            </w:pPr>
            <w:r>
              <w:rPr>
                <w:rFonts w:ascii="맑은 고딕" w:hAnsi="맑은 고딕" w:eastAsia="맑은 고딕"/>
                <w:b/>
                <w:i w:val="0"/>
                <w:color w:val="C01E1E"/>
                <w:sz w:val="19"/>
              </w:rPr>
              <w:t>+35,000</w:t>
            </w:r>
          </w:p>
        </w:tc>
        <w:tc>
          <w:tcPr>
            <w:tcW w:type="dxa" w:w="1608"/>
          </w:tcPr>
          <w:p>
            <w:pPr>
              <w:jc w:val="center"/>
            </w:pPr>
            <w:r>
              <w:rPr>
                <w:rFonts w:ascii="맑은 고딕" w:hAnsi="맑은 고딕" w:eastAsia="맑은 고딕"/>
                <w:b/>
                <w:i w:val="0"/>
                <w:color w:val="C01E1E"/>
                <w:sz w:val="19"/>
              </w:rPr>
              <w:t>+11.18%</w:t>
            </w:r>
          </w:p>
        </w:tc>
      </w:tr>
    </w:tbl>
    <w:p>
      <w:pPr>
        <w:spacing w:before="80"/>
      </w:pPr>
      <w:r>
        <w:rPr>
          <w:rFonts w:ascii="맑은 고딕" w:hAnsi="맑은 고딕" w:eastAsia="맑은 고딕"/>
          <w:b w:val="0"/>
          <w:i/>
          <w:color w:val="6E6E6E"/>
          <w:sz w:val="17"/>
        </w:rPr>
        <w:t>※ 등락률·전일비는 2026-07-22 장 종료 기준. 상승은 빨강으로 표기(국내 증시 관행).</w:t>
      </w:r>
    </w:p>
    <w:p>
      <w:pPr>
        <w:spacing w:before="120" w:after="40"/>
        <w:jc w:val="center"/>
      </w:pPr>
      <w:r>
        <w:drawing>
          <wp:inline xmlns:a="http://schemas.openxmlformats.org/drawingml/2006/main" xmlns:pic="http://schemas.openxmlformats.org/drawingml/2006/picture">
            <wp:extent cx="5486400" cy="3123028"/>
            <wp:docPr id="1" name="Picture 1"/>
            <wp:cNvGraphicFramePr>
              <a:graphicFrameLocks noChangeAspect="1"/>
            </wp:cNvGraphicFramePr>
            <a:graphic>
              <a:graphicData uri="http://schemas.openxmlformats.org/drawingml/2006/picture">
                <pic:pic>
                  <pic:nvPicPr>
                    <pic:cNvPr id="0" name="chart1_change.png"/>
                    <pic:cNvPicPr/>
                  </pic:nvPicPr>
                  <pic:blipFill>
                    <a:blip r:embed="rId9"/>
                    <a:stretch>
                      <a:fillRect/>
                    </a:stretch>
                  </pic:blipFill>
                  <pic:spPr>
                    <a:xfrm>
                      <a:off x="0" y="0"/>
                      <a:ext cx="5486400" cy="3123028"/>
                    </a:xfrm>
                    <a:prstGeom prst="rect"/>
                  </pic:spPr>
                </pic:pic>
              </a:graphicData>
            </a:graphic>
          </wp:inline>
        </w:drawing>
      </w:r>
    </w:p>
    <w:p>
      <w:pPr>
        <w:spacing w:after="200"/>
        <w:jc w:val="center"/>
      </w:pPr>
      <w:r>
        <w:rPr>
          <w:rFonts w:ascii="맑은 고딕" w:hAnsi="맑은 고딕" w:eastAsia="맑은 고딕"/>
          <w:b w:val="0"/>
          <w:i/>
          <w:color w:val="6E6E6E"/>
          <w:sz w:val="18"/>
        </w:rPr>
        <w:t>[그림 1] 상한가 상위 종목 종목별 등락률</w:t>
      </w:r>
    </w:p>
    <w:p>
      <w:pPr>
        <w:spacing w:before="120" w:after="40"/>
        <w:jc w:val="center"/>
      </w:pPr>
      <w:r>
        <w:drawing>
          <wp:inline xmlns:a="http://schemas.openxmlformats.org/drawingml/2006/main" xmlns:pic="http://schemas.openxmlformats.org/drawingml/2006/picture">
            <wp:extent cx="5486400" cy="3123028"/>
            <wp:docPr id="2" name="Picture 2"/>
            <wp:cNvGraphicFramePr>
              <a:graphicFrameLocks noChangeAspect="1"/>
            </wp:cNvGraphicFramePr>
            <a:graphic>
              <a:graphicData uri="http://schemas.openxmlformats.org/drawingml/2006/picture">
                <pic:pic>
                  <pic:nvPicPr>
                    <pic:cNvPr id="0" name="chart2_gain.png"/>
                    <pic:cNvPicPr/>
                  </pic:nvPicPr>
                  <pic:blipFill>
                    <a:blip r:embed="rId10"/>
                    <a:stretch>
                      <a:fillRect/>
                    </a:stretch>
                  </pic:blipFill>
                  <pic:spPr>
                    <a:xfrm>
                      <a:off x="0" y="0"/>
                      <a:ext cx="5486400" cy="3123028"/>
                    </a:xfrm>
                    <a:prstGeom prst="rect"/>
                  </pic:spPr>
                </pic:pic>
              </a:graphicData>
            </a:graphic>
          </wp:inline>
        </w:drawing>
      </w:r>
    </w:p>
    <w:p>
      <w:pPr>
        <w:spacing w:after="200"/>
        <w:jc w:val="center"/>
      </w:pPr>
      <w:r>
        <w:rPr>
          <w:rFonts w:ascii="맑은 고딕" w:hAnsi="맑은 고딕" w:eastAsia="맑은 고딕"/>
          <w:b w:val="0"/>
          <w:i/>
          <w:color w:val="6E6E6E"/>
          <w:sz w:val="18"/>
        </w:rPr>
        <w:t>[그림 2] 종목별 전일비 상승액 — 절대 상승폭 비교</w:t>
      </w:r>
    </w:p>
    <w:p>
      <w:pPr>
        <w:spacing w:before="320" w:after="40"/>
        <w:pBdr>
          <w:bottom w:val="single" w:sz="12" w:space="4" w:color="1F3A5F"/>
        </w:pBdr>
      </w:pPr>
      <w:r>
        <w:rPr>
          <w:rFonts w:ascii="맑은 고딕" w:hAnsi="맑은 고딕" w:eastAsia="맑은 고딕"/>
          <w:b/>
          <w:i w:val="0"/>
          <w:color w:val="1F3A5F"/>
          <w:sz w:val="30"/>
        </w:rPr>
        <w:t>3. 섹터 · 테마 분석</w:t>
      </w:r>
    </w:p>
    <w:p>
      <w:pPr>
        <w:spacing w:after="120" w:line="312" w:lineRule="auto"/>
      </w:pPr>
      <w:r>
        <w:rPr>
          <w:rFonts w:ascii="맑은 고딕" w:hAnsi="맑은 고딕" w:eastAsia="맑은 고딕"/>
          <w:b w:val="0"/>
          <w:i w:val="0"/>
          <w:color w:val="222222"/>
          <w:sz w:val="21"/>
        </w:rPr>
        <w:t>당일 코스피 상승률 상위 5종목을 성격별로 분류하면, 해운·에너지(유가) 테마가 2종목으로 가장 비중이 크고, 전력 인프라, 건설·플랜트, 우선주 수급이 각각 1종목씩이다. 상한가 종목이 없었던 만큼 특정 재료가 시장 전체를 지배했다기보다, 복수의 테마가 병렬적으로 작동한 하루로 볼 수 있다.</w:t>
      </w:r>
    </w:p>
    <w:p>
      <w:pPr>
        <w:spacing w:after="120" w:line="312" w:lineRule="auto"/>
      </w:pPr>
      <w:r>
        <w:rPr>
          <w:rFonts w:ascii="맑은 고딕" w:hAnsi="맑은 고딕" w:eastAsia="맑은 고딕"/>
          <w:b w:val="0"/>
          <w:i w:val="0"/>
          <w:color w:val="222222"/>
          <w:sz w:val="21"/>
        </w:rPr>
        <w:t>상위 5종목에서는 제외했으나, ACE K휴머노이드로봇산업TOP2+(+12.13%), HANARO K휴머노이드테마TOP10(+10.38%), TIGER 코리아휴머노이드로봇산업(+10.31%) 등 로봇 ETF 3종이 나란히 10% 이상 급등한 점도 함께 기록해 둘 만하다. 이는 같은 날 코스닥 상한가 목록에 코스모로보틱스·티엑스알로보틱스·앤로보틱스·아이로보틱스 등 로봇 종목이 대거 포함된 것과 정확히 맞물린다.</w:t>
      </w:r>
    </w:p>
    <w:p>
      <w:pPr>
        <w:spacing w:before="120" w:after="40"/>
        <w:jc w:val="center"/>
      </w:pPr>
      <w:r>
        <w:drawing>
          <wp:inline xmlns:a="http://schemas.openxmlformats.org/drawingml/2006/main" xmlns:pic="http://schemas.openxmlformats.org/drawingml/2006/picture">
            <wp:extent cx="4663440" cy="2879134"/>
            <wp:docPr id="3" name="Picture 3"/>
            <wp:cNvGraphicFramePr>
              <a:graphicFrameLocks noChangeAspect="1"/>
            </wp:cNvGraphicFramePr>
            <a:graphic>
              <a:graphicData uri="http://schemas.openxmlformats.org/drawingml/2006/picture">
                <pic:pic>
                  <pic:nvPicPr>
                    <pic:cNvPr id="0" name="chart3_theme.png"/>
                    <pic:cNvPicPr/>
                  </pic:nvPicPr>
                  <pic:blipFill>
                    <a:blip r:embed="rId11"/>
                    <a:stretch>
                      <a:fillRect/>
                    </a:stretch>
                  </pic:blipFill>
                  <pic:spPr>
                    <a:xfrm>
                      <a:off x="0" y="0"/>
                      <a:ext cx="4663440" cy="2879134"/>
                    </a:xfrm>
                    <a:prstGeom prst="rect"/>
                  </pic:spPr>
                </pic:pic>
              </a:graphicData>
            </a:graphic>
          </wp:inline>
        </w:drawing>
      </w:r>
    </w:p>
    <w:p>
      <w:pPr>
        <w:spacing w:after="200"/>
        <w:jc w:val="center"/>
      </w:pPr>
      <w:r>
        <w:rPr>
          <w:rFonts w:ascii="맑은 고딕" w:hAnsi="맑은 고딕" w:eastAsia="맑은 고딕"/>
          <w:b w:val="0"/>
          <w:i/>
          <w:color w:val="6E6E6E"/>
          <w:sz w:val="18"/>
        </w:rPr>
        <w:t>[그림 3] 테마별 상한가 종목 분포 (총 5종목)</w:t>
      </w:r>
    </w:p>
    <w:p>
      <w:pPr>
        <w:spacing w:before="120" w:after="40"/>
      </w:pPr>
      <w:r>
        <w:rPr>
          <w:rFonts w:ascii="맑은 고딕" w:hAnsi="맑은 고딕" w:eastAsia="맑은 고딕"/>
          <w:b/>
          <w:i w:val="0"/>
          <w:color w:val="1F3A5F"/>
          <w:sz w:val="22"/>
        </w:rPr>
        <w:t>▸ 해운·에너지(유가) (2종목) — 오늘의 주도 테마</w:t>
      </w:r>
    </w:p>
    <w:p>
      <w:pPr>
        <w:pStyle w:val="ListBullet"/>
        <w:spacing w:after="60" w:line="300" w:lineRule="auto"/>
      </w:pPr>
      <w:r>
        <w:rPr>
          <w:rFonts w:ascii="맑은 고딕" w:hAnsi="맑은 고딕" w:eastAsia="맑은 고딕"/>
          <w:b w:val="0"/>
          <w:i w:val="0"/>
          <w:color w:val="222222"/>
          <w:sz w:val="21"/>
        </w:rPr>
        <w:t>STX그린로지스, SGC에너지 2종목이 해당한다.</w:t>
      </w:r>
    </w:p>
    <w:p>
      <w:pPr>
        <w:pStyle w:val="ListBullet"/>
        <w:spacing w:after="60" w:line="300" w:lineRule="auto"/>
      </w:pPr>
      <w:r>
        <w:rPr>
          <w:rFonts w:ascii="맑은 고딕" w:hAnsi="맑은 고딕" w:eastAsia="맑은 고딕"/>
          <w:b w:val="0"/>
          <w:i w:val="0"/>
          <w:color w:val="222222"/>
          <w:sz w:val="21"/>
        </w:rPr>
        <w:t>중동 정세 불안과 호르무즈 해협 관련 우려에 따른 해상 운임·유가 상승 기대가 배경이다.</w:t>
      </w:r>
    </w:p>
    <w:p>
      <w:pPr>
        <w:pStyle w:val="ListBullet"/>
        <w:spacing w:after="60" w:line="300" w:lineRule="auto"/>
      </w:pPr>
      <w:r>
        <w:rPr>
          <w:rFonts w:ascii="맑은 고딕" w:hAnsi="맑은 고딕" w:eastAsia="맑은 고딕"/>
          <w:b w:val="0"/>
          <w:i w:val="0"/>
          <w:color w:val="222222"/>
          <w:sz w:val="21"/>
        </w:rPr>
        <w:t>상승률 상위권에 WTI원유 레버리지 ETN이 다수 포진해 테마의 존재가 교차 확인된다.</w:t>
      </w:r>
    </w:p>
    <w:p>
      <w:pPr>
        <w:pStyle w:val="ListBullet"/>
        <w:spacing w:after="60" w:line="300" w:lineRule="auto"/>
      </w:pPr>
      <w:r>
        <w:rPr>
          <w:rFonts w:ascii="맑은 고딕" w:hAnsi="맑은 고딕" w:eastAsia="맑은 고딕"/>
          <w:b w:val="0"/>
          <w:i w:val="0"/>
          <w:color w:val="222222"/>
          <w:sz w:val="21"/>
        </w:rPr>
        <w:t>정세가 진정되면 되돌림이 빠르게 나타나는 전형적인 이벤트 드리븐 테마다.</w:t>
      </w:r>
    </w:p>
    <w:p>
      <w:pPr>
        <w:spacing w:before="120" w:after="40"/>
      </w:pPr>
      <w:r>
        <w:rPr>
          <w:rFonts w:ascii="맑은 고딕" w:hAnsi="맑은 고딕" w:eastAsia="맑은 고딕"/>
          <w:b/>
          <w:i w:val="0"/>
          <w:color w:val="1F3A5F"/>
          <w:sz w:val="22"/>
        </w:rPr>
        <w:t>▸ 전력인프라·AI전력망 (1종목) — 실적이 뒷받침된 테마</w:t>
      </w:r>
    </w:p>
    <w:p>
      <w:pPr>
        <w:pStyle w:val="ListBullet"/>
        <w:spacing w:after="60" w:line="300" w:lineRule="auto"/>
      </w:pPr>
      <w:r>
        <w:rPr>
          <w:rFonts w:ascii="맑은 고딕" w:hAnsi="맑은 고딕" w:eastAsia="맑은 고딕"/>
          <w:b w:val="0"/>
          <w:i w:val="0"/>
          <w:color w:val="222222"/>
          <w:sz w:val="21"/>
        </w:rPr>
        <w:t>가온전선 1종목이 해당한다.</w:t>
      </w:r>
    </w:p>
    <w:p>
      <w:pPr>
        <w:pStyle w:val="ListBullet"/>
        <w:spacing w:after="60" w:line="300" w:lineRule="auto"/>
      </w:pPr>
      <w:r>
        <w:rPr>
          <w:rFonts w:ascii="맑은 고딕" w:hAnsi="맑은 고딕" w:eastAsia="맑은 고딕"/>
          <w:b w:val="0"/>
          <w:i w:val="0"/>
          <w:color w:val="222222"/>
          <w:sz w:val="21"/>
        </w:rPr>
        <w:t>AI 데이터센터 확대에 따른 전력망 투자 수요가 구조적 배경이다.</w:t>
      </w:r>
    </w:p>
    <w:p>
      <w:pPr>
        <w:pStyle w:val="ListBullet"/>
        <w:spacing w:after="60" w:line="300" w:lineRule="auto"/>
      </w:pPr>
      <w:r>
        <w:rPr>
          <w:rFonts w:ascii="맑은 고딕" w:hAnsi="맑은 고딕" w:eastAsia="맑은 고딕"/>
          <w:b w:val="0"/>
          <w:i w:val="0"/>
          <w:color w:val="222222"/>
          <w:sz w:val="21"/>
        </w:rPr>
        <w:t>1분기 영업이익 27.2% 증가 등 실적 개선이 동반되어 다른 테마 대비 실체가 있는 편이다.</w:t>
      </w:r>
    </w:p>
    <w:p>
      <w:pPr>
        <w:spacing w:before="120" w:after="40"/>
      </w:pPr>
      <w:r>
        <w:rPr>
          <w:rFonts w:ascii="맑은 고딕" w:hAnsi="맑은 고딕" w:eastAsia="맑은 고딕"/>
          <w:b/>
          <w:i w:val="0"/>
          <w:color w:val="1F3A5F"/>
          <w:sz w:val="22"/>
        </w:rPr>
        <w:t>▸ 건설·플랜트 (1종목) — 대형주 테마 유입</w:t>
      </w:r>
    </w:p>
    <w:p>
      <w:pPr>
        <w:pStyle w:val="ListBullet"/>
        <w:spacing w:after="60" w:line="300" w:lineRule="auto"/>
      </w:pPr>
      <w:r>
        <w:rPr>
          <w:rFonts w:ascii="맑은 고딕" w:hAnsi="맑은 고딕" w:eastAsia="맑은 고딕"/>
          <w:b w:val="0"/>
          <w:i w:val="0"/>
          <w:color w:val="222222"/>
          <w:sz w:val="21"/>
        </w:rPr>
        <w:t>GS건설 1종목이 해당한다.</w:t>
      </w:r>
    </w:p>
    <w:p>
      <w:pPr>
        <w:pStyle w:val="ListBullet"/>
        <w:spacing w:after="60" w:line="300" w:lineRule="auto"/>
      </w:pPr>
      <w:r>
        <w:rPr>
          <w:rFonts w:ascii="맑은 고딕" w:hAnsi="맑은 고딕" w:eastAsia="맑은 고딕"/>
          <w:b w:val="0"/>
          <w:i w:val="0"/>
          <w:color w:val="222222"/>
          <w:sz w:val="21"/>
        </w:rPr>
        <w:t>중동 정세 변화에 따른 해외 플랜트 수주 기대가 반영됐다.</w:t>
      </w:r>
    </w:p>
    <w:p>
      <w:pPr>
        <w:pStyle w:val="ListBullet"/>
        <w:spacing w:after="60" w:line="300" w:lineRule="auto"/>
      </w:pPr>
      <w:r>
        <w:rPr>
          <w:rFonts w:ascii="맑은 고딕" w:hAnsi="맑은 고딕" w:eastAsia="맑은 고딕"/>
          <w:b w:val="0"/>
          <w:i w:val="0"/>
          <w:color w:val="222222"/>
          <w:sz w:val="21"/>
        </w:rPr>
        <w:t>대형 건설주가 13% 이상 오른 것은 이례적이며 테마 자금의 저변이 넓어졌음을 시사한다.</w:t>
      </w:r>
    </w:p>
    <w:p>
      <w:pPr>
        <w:spacing w:before="120" w:after="40"/>
      </w:pPr>
      <w:r>
        <w:rPr>
          <w:rFonts w:ascii="맑은 고딕" w:hAnsi="맑은 고딕" w:eastAsia="맑은 고딕"/>
          <w:b/>
          <w:i w:val="0"/>
          <w:color w:val="1F3A5F"/>
          <w:sz w:val="22"/>
        </w:rPr>
        <w:t>▸ 우선주·수급 (1종목) — 펀더멘털 무관 급등</w:t>
      </w:r>
    </w:p>
    <w:p>
      <w:pPr>
        <w:pStyle w:val="ListBullet"/>
        <w:spacing w:after="60" w:line="300" w:lineRule="auto"/>
      </w:pPr>
      <w:r>
        <w:rPr>
          <w:rFonts w:ascii="맑은 고딕" w:hAnsi="맑은 고딕" w:eastAsia="맑은 고딕"/>
          <w:b w:val="0"/>
          <w:i w:val="0"/>
          <w:color w:val="222222"/>
          <w:sz w:val="21"/>
        </w:rPr>
        <w:t>두산2우B 1종목이 해당한다.</w:t>
      </w:r>
    </w:p>
    <w:p>
      <w:pPr>
        <w:pStyle w:val="ListBullet"/>
        <w:spacing w:after="60" w:line="300" w:lineRule="auto"/>
      </w:pPr>
      <w:r>
        <w:rPr>
          <w:rFonts w:ascii="맑은 고딕" w:hAnsi="맑은 고딕" w:eastAsia="맑은 고딕"/>
          <w:b w:val="0"/>
          <w:i w:val="0"/>
          <w:color w:val="222222"/>
          <w:sz w:val="21"/>
        </w:rPr>
        <w:t>유통 물량이 적은 우선주 특유의 수급 왜곡에 따른 상승으로 해석된다.</w:t>
      </w:r>
    </w:p>
    <w:p>
      <w:pPr>
        <w:pStyle w:val="ListBullet"/>
        <w:spacing w:after="60" w:line="300" w:lineRule="auto"/>
      </w:pPr>
      <w:r>
        <w:rPr>
          <w:rFonts w:ascii="맑은 고딕" w:hAnsi="맑은 고딕" w:eastAsia="맑은 고딕"/>
          <w:b w:val="0"/>
          <w:i w:val="0"/>
          <w:color w:val="222222"/>
          <w:sz w:val="21"/>
        </w:rPr>
        <w:t>보통주와의 괴리율 확대 여부를 반드시 함께 점검해야 한다.</w:t>
      </w:r>
    </w:p>
    <w:p>
      <w:pPr>
        <w:spacing w:before="320" w:after="40"/>
        <w:pBdr>
          <w:bottom w:val="single" w:sz="12" w:space="4" w:color="1F3A5F"/>
        </w:pBdr>
      </w:pPr>
      <w:r>
        <w:rPr>
          <w:rFonts w:ascii="맑은 고딕" w:hAnsi="맑은 고딕" w:eastAsia="맑은 고딕"/>
          <w:b/>
          <w:i w:val="0"/>
          <w:color w:val="1F3A5F"/>
          <w:sz w:val="30"/>
        </w:rPr>
        <w:t>4. 개별 종목 심층 코멘트</w:t>
      </w:r>
    </w:p>
    <w:p>
      <w:pPr>
        <w:spacing w:before="160" w:after="20"/>
      </w:pPr>
      <w:r>
        <w:rPr>
          <w:rFonts w:ascii="맑은 고딕" w:hAnsi="맑은 고딕" w:eastAsia="맑은 고딕"/>
          <w:b/>
          <w:i w:val="0"/>
          <w:color w:val="1F3A5F"/>
          <w:sz w:val="23"/>
        </w:rPr>
        <w:t>1. STX그린로지스  (465770 · 코스피)</w:t>
      </w:r>
    </w:p>
    <w:p>
      <w:pPr>
        <w:spacing w:after="40"/>
      </w:pPr>
      <w:r>
        <w:rPr>
          <w:rFonts w:ascii="맑은 고딕" w:hAnsi="맑은 고딕" w:eastAsia="맑은 고딕"/>
          <w:b/>
          <w:i w:val="0"/>
          <w:color w:val="222222"/>
          <w:sz w:val="19"/>
        </w:rPr>
        <w:t xml:space="preserve">현재가 4,955원  </w:t>
      </w:r>
      <w:r>
        <w:rPr>
          <w:rFonts w:ascii="맑은 고딕" w:hAnsi="맑은 고딕" w:eastAsia="맑은 고딕"/>
          <w:b/>
          <w:i w:val="0"/>
          <w:color w:val="C01E1E"/>
          <w:sz w:val="19"/>
        </w:rPr>
        <w:t>+24.19%</w:t>
      </w:r>
      <w:r>
        <w:rPr>
          <w:rFonts w:ascii="맑은 고딕" w:hAnsi="맑은 고딕" w:eastAsia="맑은 고딕"/>
          <w:b w:val="0"/>
          <w:i w:val="0"/>
          <w:color w:val="6E6E6E"/>
          <w:sz w:val="18"/>
        </w:rPr>
        <w:t xml:space="preserve">    #해운·유가</w:t>
      </w:r>
    </w:p>
    <w:p>
      <w:pPr>
        <w:spacing w:after="80" w:line="312" w:lineRule="auto"/>
      </w:pPr>
      <w:r>
        <w:rPr>
          <w:rFonts w:ascii="맑은 고딕" w:hAnsi="맑은 고딕" w:eastAsia="맑은 고딕"/>
          <w:b w:val="0"/>
          <w:i w:val="0"/>
          <w:color w:val="222222"/>
          <w:sz w:val="21"/>
        </w:rPr>
        <w:t>석탄·철광석·곡물 등을 나르는 벌크선 사업을 하는 소형주로, 시가총액이 작아 테마 뉴스에 주가 반응이 극단적으로 나타나는 종목이다. 중동 정세 불안과 호르무즈 해협 관련 이슈가 부각될 때마다 해상 운임 급등 기대가 유입되며 반복적으로 급등한 이력이 있고, 7월 13일에도 상한가를 기록한 바 있다.</w:t>
      </w:r>
    </w:p>
    <w:p>
      <w:pPr>
        <w:spacing w:after="80" w:line="312" w:lineRule="auto"/>
      </w:pPr>
      <w:r>
        <w:rPr>
          <w:rFonts w:ascii="맑은 고딕" w:hAnsi="맑은 고딕" w:eastAsia="맑은 고딕"/>
          <w:b w:val="0"/>
          <w:i w:val="0"/>
          <w:color w:val="222222"/>
          <w:sz w:val="21"/>
        </w:rPr>
        <w:t>회사 실적이나 계약 공시에 따른 상승이라기보다 유가·운임 테마에 연동된 수급성 급등에 가깝다. 유통 물량이 적어 변동성이 크므로 테마가 식으면 되돌림 폭도 그만큼 커질 수 있다.</w:t>
      </w:r>
    </w:p>
    <w:p>
      <w:pPr>
        <w:spacing w:before="160" w:after="20"/>
      </w:pPr>
      <w:r>
        <w:rPr>
          <w:rFonts w:ascii="맑은 고딕" w:hAnsi="맑은 고딕" w:eastAsia="맑은 고딕"/>
          <w:b/>
          <w:i w:val="0"/>
          <w:color w:val="1F3A5F"/>
          <w:sz w:val="23"/>
        </w:rPr>
        <w:t>2. 가온전선  (000500 · 코스피)</w:t>
      </w:r>
    </w:p>
    <w:p>
      <w:pPr>
        <w:spacing w:after="40"/>
      </w:pPr>
      <w:r>
        <w:rPr>
          <w:rFonts w:ascii="맑은 고딕" w:hAnsi="맑은 고딕" w:eastAsia="맑은 고딕"/>
          <w:b/>
          <w:i w:val="0"/>
          <w:color w:val="222222"/>
          <w:sz w:val="19"/>
        </w:rPr>
        <w:t xml:space="preserve">현재가 209,500원  </w:t>
      </w:r>
      <w:r>
        <w:rPr>
          <w:rFonts w:ascii="맑은 고딕" w:hAnsi="맑은 고딕" w:eastAsia="맑은 고딕"/>
          <w:b/>
          <w:i w:val="0"/>
          <w:color w:val="C01E1E"/>
          <w:sz w:val="19"/>
        </w:rPr>
        <w:t>+15.68%</w:t>
      </w:r>
      <w:r>
        <w:rPr>
          <w:rFonts w:ascii="맑은 고딕" w:hAnsi="맑은 고딕" w:eastAsia="맑은 고딕"/>
          <w:b w:val="0"/>
          <w:i w:val="0"/>
          <w:color w:val="6E6E6E"/>
          <w:sz w:val="18"/>
        </w:rPr>
        <w:t xml:space="preserve">    #전력인프라·AI전력망</w:t>
      </w:r>
    </w:p>
    <w:p>
      <w:pPr>
        <w:spacing w:after="80" w:line="312" w:lineRule="auto"/>
      </w:pPr>
      <w:r>
        <w:rPr>
          <w:rFonts w:ascii="맑은 고딕" w:hAnsi="맑은 고딕" w:eastAsia="맑은 고딕"/>
          <w:b w:val="0"/>
          <w:i w:val="0"/>
          <w:color w:val="222222"/>
          <w:sz w:val="21"/>
        </w:rPr>
        <w:t>전선·전력기기 업체로, AI 데이터센터 확대에 따른 전력망 투자 수혜 기대가 지속적으로 주가를 밀어올리고 있다. 2026년 1분기 매출 19.4%, 영업이익 27.2%, 순이익 28.3% 증가로 전력사업부 중심의 실적 개선이 확인된 점이 테마에 실체를 더한다.</w:t>
      </w:r>
    </w:p>
    <w:p>
      <w:pPr>
        <w:spacing w:after="80" w:line="312" w:lineRule="auto"/>
      </w:pPr>
      <w:r>
        <w:rPr>
          <w:rFonts w:ascii="맑은 고딕" w:hAnsi="맑은 고딕" w:eastAsia="맑은 고딕"/>
          <w:b w:val="0"/>
          <w:i w:val="0"/>
          <w:color w:val="222222"/>
          <w:sz w:val="21"/>
        </w:rPr>
        <w:t>6월 무상증자 권리락 이후에도 상승 흐름이 이어졌다는 점은 주의할 대목이다. 이미 20만원대까지 오른 상태에서의 추가 급등이므로 밸류에이션 부담과 차익 실현 압력을 함께 봐야 한다.</w:t>
      </w:r>
    </w:p>
    <w:p>
      <w:pPr>
        <w:spacing w:before="160" w:after="20"/>
      </w:pPr>
      <w:r>
        <w:rPr>
          <w:rFonts w:ascii="맑은 고딕" w:hAnsi="맑은 고딕" w:eastAsia="맑은 고딕"/>
          <w:b/>
          <w:i w:val="0"/>
          <w:color w:val="1F3A5F"/>
          <w:sz w:val="23"/>
        </w:rPr>
        <w:t>3. GS건설  (006360 · 코스피)</w:t>
      </w:r>
    </w:p>
    <w:p>
      <w:pPr>
        <w:spacing w:after="40"/>
      </w:pPr>
      <w:r>
        <w:rPr>
          <w:rFonts w:ascii="맑은 고딕" w:hAnsi="맑은 고딕" w:eastAsia="맑은 고딕"/>
          <w:b/>
          <w:i w:val="0"/>
          <w:color w:val="222222"/>
          <w:sz w:val="19"/>
        </w:rPr>
        <w:t xml:space="preserve">현재가 29,100원  </w:t>
      </w:r>
      <w:r>
        <w:rPr>
          <w:rFonts w:ascii="맑은 고딕" w:hAnsi="맑은 고딕" w:eastAsia="맑은 고딕"/>
          <w:b/>
          <w:i w:val="0"/>
          <w:color w:val="C01E1E"/>
          <w:sz w:val="19"/>
        </w:rPr>
        <w:t>+13.67%</w:t>
      </w:r>
      <w:r>
        <w:rPr>
          <w:rFonts w:ascii="맑은 고딕" w:hAnsi="맑은 고딕" w:eastAsia="맑은 고딕"/>
          <w:b w:val="0"/>
          <w:i w:val="0"/>
          <w:color w:val="6E6E6E"/>
          <w:sz w:val="18"/>
        </w:rPr>
        <w:t xml:space="preserve">    #건설·플랜트</w:t>
      </w:r>
    </w:p>
    <w:p>
      <w:pPr>
        <w:spacing w:after="80" w:line="312" w:lineRule="auto"/>
      </w:pPr>
      <w:r>
        <w:rPr>
          <w:rFonts w:ascii="맑은 고딕" w:hAnsi="맑은 고딕" w:eastAsia="맑은 고딕"/>
          <w:b w:val="0"/>
          <w:i w:val="0"/>
          <w:color w:val="222222"/>
          <w:sz w:val="21"/>
        </w:rPr>
        <w:t>아파트·일반건축과 플랜트, 토목 인프라를 함께 영위하는 대형 건설사다. 중동 정세 변화에 따른 해외 플랜트 수주 기대가 부각될 때 주가 탄력이 크게 나타나는 종목으로, 이번 급등도 같은 맥락으로 해석된다.</w:t>
      </w:r>
    </w:p>
    <w:p>
      <w:pPr>
        <w:spacing w:after="80" w:line="312" w:lineRule="auto"/>
      </w:pPr>
      <w:r>
        <w:rPr>
          <w:rFonts w:ascii="맑은 고딕" w:hAnsi="맑은 고딕" w:eastAsia="맑은 고딕"/>
          <w:b w:val="0"/>
          <w:i w:val="0"/>
          <w:color w:val="222222"/>
          <w:sz w:val="21"/>
        </w:rPr>
        <w:t>7월 19일 27,300원 부근까지 밀렸다가 이번 상승으로 29,100원을 회복했다. 시가총액 규모를 감안하면 13%대 상승은 이례적으로 강한 편이며, 대형주에도 테마 자금이 유입되고 있음을 보여준다.</w:t>
      </w:r>
    </w:p>
    <w:p>
      <w:pPr>
        <w:spacing w:before="160" w:after="20"/>
      </w:pPr>
      <w:r>
        <w:rPr>
          <w:rFonts w:ascii="맑은 고딕" w:hAnsi="맑은 고딕" w:eastAsia="맑은 고딕"/>
          <w:b/>
          <w:i w:val="0"/>
          <w:color w:val="1F3A5F"/>
          <w:sz w:val="23"/>
        </w:rPr>
        <w:t>4. SGC에너지  (005090 · 코스피)</w:t>
      </w:r>
    </w:p>
    <w:p>
      <w:pPr>
        <w:spacing w:after="40"/>
      </w:pPr>
      <w:r>
        <w:rPr>
          <w:rFonts w:ascii="맑은 고딕" w:hAnsi="맑은 고딕" w:eastAsia="맑은 고딕"/>
          <w:b/>
          <w:i w:val="0"/>
          <w:color w:val="222222"/>
          <w:sz w:val="19"/>
        </w:rPr>
        <w:t xml:space="preserve">현재가 42,350원  </w:t>
      </w:r>
      <w:r>
        <w:rPr>
          <w:rFonts w:ascii="맑은 고딕" w:hAnsi="맑은 고딕" w:eastAsia="맑은 고딕"/>
          <w:b/>
          <w:i w:val="0"/>
          <w:color w:val="C01E1E"/>
          <w:sz w:val="19"/>
        </w:rPr>
        <w:t>+12.19%</w:t>
      </w:r>
      <w:r>
        <w:rPr>
          <w:rFonts w:ascii="맑은 고딕" w:hAnsi="맑은 고딕" w:eastAsia="맑은 고딕"/>
          <w:b w:val="0"/>
          <w:i w:val="0"/>
          <w:color w:val="6E6E6E"/>
          <w:sz w:val="18"/>
        </w:rPr>
        <w:t xml:space="preserve">    #에너지·유가</w:t>
      </w:r>
    </w:p>
    <w:p>
      <w:pPr>
        <w:spacing w:after="80" w:line="312" w:lineRule="auto"/>
      </w:pPr>
      <w:r>
        <w:rPr>
          <w:rFonts w:ascii="맑은 고딕" w:hAnsi="맑은 고딕" w:eastAsia="맑은 고딕"/>
          <w:b w:val="0"/>
          <w:i w:val="0"/>
          <w:color w:val="222222"/>
          <w:sz w:val="21"/>
        </w:rPr>
        <w:t>집단에너지·발전 사업을 중심으로 한 에너지 기업으로, 국제 유가 강세 국면에서 에너지 가격 전가 기대가 반영되는 종목이다. 당일 상승률 상위권을 WTI원유 레버리지 ETN들이 다수 차지한 것과 같은 흐름 위에 있다.</w:t>
      </w:r>
    </w:p>
    <w:p>
      <w:pPr>
        <w:spacing w:after="80" w:line="312" w:lineRule="auto"/>
      </w:pPr>
      <w:r>
        <w:rPr>
          <w:rFonts w:ascii="맑은 고딕" w:hAnsi="맑은 고딕" w:eastAsia="맑은 고딕"/>
          <w:b w:val="0"/>
          <w:i w:val="0"/>
          <w:color w:val="222222"/>
          <w:sz w:val="21"/>
        </w:rPr>
        <w:t>STX그린로지스와 함께 이번 코스피 강세의 성격이 상당 부분 '유가·중동' 테마였음을 보여주는 종목이다. 유가가 되돌려질 경우 상승분 반납 위험이 크다.</w:t>
      </w:r>
    </w:p>
    <w:p>
      <w:pPr>
        <w:spacing w:before="160" w:after="20"/>
      </w:pPr>
      <w:r>
        <w:rPr>
          <w:rFonts w:ascii="맑은 고딕" w:hAnsi="맑은 고딕" w:eastAsia="맑은 고딕"/>
          <w:b/>
          <w:i w:val="0"/>
          <w:color w:val="1F3A5F"/>
          <w:sz w:val="23"/>
        </w:rPr>
        <w:t>5. 두산2우B  (000157 · 코스피)</w:t>
      </w:r>
    </w:p>
    <w:p>
      <w:pPr>
        <w:spacing w:after="40"/>
      </w:pPr>
      <w:r>
        <w:rPr>
          <w:rFonts w:ascii="맑은 고딕" w:hAnsi="맑은 고딕" w:eastAsia="맑은 고딕"/>
          <w:b/>
          <w:i w:val="0"/>
          <w:color w:val="222222"/>
          <w:sz w:val="19"/>
        </w:rPr>
        <w:t xml:space="preserve">현재가 348,000원  </w:t>
      </w:r>
      <w:r>
        <w:rPr>
          <w:rFonts w:ascii="맑은 고딕" w:hAnsi="맑은 고딕" w:eastAsia="맑은 고딕"/>
          <w:b/>
          <w:i w:val="0"/>
          <w:color w:val="C01E1E"/>
          <w:sz w:val="19"/>
        </w:rPr>
        <w:t>+11.18%</w:t>
      </w:r>
      <w:r>
        <w:rPr>
          <w:rFonts w:ascii="맑은 고딕" w:hAnsi="맑은 고딕" w:eastAsia="맑은 고딕"/>
          <w:b w:val="0"/>
          <w:i w:val="0"/>
          <w:color w:val="6E6E6E"/>
          <w:sz w:val="18"/>
        </w:rPr>
        <w:t xml:space="preserve">    #우선주·수급</w:t>
      </w:r>
    </w:p>
    <w:p>
      <w:pPr>
        <w:spacing w:after="80" w:line="312" w:lineRule="auto"/>
      </w:pPr>
      <w:r>
        <w:rPr>
          <w:rFonts w:ascii="맑은 고딕" w:hAnsi="맑은 고딕" w:eastAsia="맑은 고딕"/>
          <w:b w:val="0"/>
          <w:i w:val="0"/>
          <w:color w:val="222222"/>
          <w:sz w:val="21"/>
        </w:rPr>
        <w:t>두산의 우선주로, 보통주 대비 유통 물량이 현저히 적어 소량의 매수세만으로도 주가가 크게 움직이는 구조다. 지주사 및 그룹 전반에 대한 기대가 우선주 쪽에 과도하게 반영된 것으로 보인다.</w:t>
      </w:r>
    </w:p>
    <w:p>
      <w:pPr>
        <w:spacing w:after="80" w:line="312" w:lineRule="auto"/>
      </w:pPr>
      <w:r>
        <w:rPr>
          <w:rFonts w:ascii="맑은 고딕" w:hAnsi="맑은 고딕" w:eastAsia="맑은 고딕"/>
          <w:b w:val="0"/>
          <w:i w:val="0"/>
          <w:color w:val="222222"/>
          <w:sz w:val="21"/>
        </w:rPr>
        <w:t>우선주 급등은 기업 펀더멘털 변화보다 수급 왜곡에서 비롯되는 경우가 많다. 보통주와의 괴리율이 비정상적으로 벌어지면 단기 조정 위험이 커지므로 별도의 주의가 필요하다.</w:t>
      </w:r>
    </w:p>
    <w:p>
      <w:pPr>
        <w:spacing w:before="320" w:after="40"/>
        <w:pBdr>
          <w:bottom w:val="single" w:sz="12" w:space="4" w:color="1F3A5F"/>
        </w:pBdr>
      </w:pPr>
      <w:r>
        <w:rPr>
          <w:rFonts w:ascii="맑은 고딕" w:hAnsi="맑은 고딕" w:eastAsia="맑은 고딕"/>
          <w:b/>
          <w:i w:val="0"/>
          <w:color w:val="1F3A5F"/>
          <w:sz w:val="30"/>
        </w:rPr>
        <w:t>5. 시사점 및 유의사항</w:t>
      </w:r>
    </w:p>
    <w:p>
      <w:pPr>
        <w:spacing w:after="60" w:line="312" w:lineRule="auto"/>
      </w:pPr>
      <w:r>
        <w:rPr>
          <w:rFonts w:ascii="맑은 고딕" w:hAnsi="맑은 고딕" w:eastAsia="맑은 고딕"/>
          <w:b/>
          <w:i w:val="0"/>
          <w:color w:val="1F3A5F"/>
          <w:sz w:val="21"/>
        </w:rPr>
        <w:t>투자 시사점</w:t>
      </w:r>
    </w:p>
    <w:p>
      <w:pPr>
        <w:pStyle w:val="ListBullet"/>
        <w:spacing w:after="60" w:line="300" w:lineRule="auto"/>
      </w:pPr>
      <w:r>
        <w:rPr>
          <w:rFonts w:ascii="맑은 고딕" w:hAnsi="맑은 고딕" w:eastAsia="맑은 고딕"/>
          <w:b w:val="0"/>
          <w:i w:val="0"/>
          <w:color w:val="222222"/>
          <w:sz w:val="21"/>
        </w:rPr>
        <w:t>코스피 상한가 '0종목'은 그 자체가 신호다. 지수 강세에도 불구하고 극단적 급등이 코스닥에 집중됐다는 것은, 투기적 자금이 대형주보다 중소형 성장주로 이동하고 있음을 의미한다.</w:t>
      </w:r>
    </w:p>
    <w:p>
      <w:pPr>
        <w:pStyle w:val="ListBullet"/>
        <w:spacing w:after="60" w:line="300" w:lineRule="auto"/>
      </w:pPr>
      <w:r>
        <w:rPr>
          <w:rFonts w:ascii="맑은 고딕" w:hAnsi="맑은 고딕" w:eastAsia="맑은 고딕"/>
          <w:b w:val="0"/>
          <w:i w:val="0"/>
          <w:color w:val="222222"/>
          <w:sz w:val="21"/>
        </w:rPr>
        <w:t>유가·중동 테마가 코스피 상승률 상위권을 관통했다. 해운·에너지·건설 플랜트가 동시에 오른 만큼, 이후 흐름은 개별 기업 실적보다 국제 정세 뉴스에 좌우될 가능성이 높다.</w:t>
      </w:r>
    </w:p>
    <w:p>
      <w:pPr>
        <w:pStyle w:val="ListBullet"/>
        <w:spacing w:after="60" w:line="300" w:lineRule="auto"/>
      </w:pPr>
      <w:r>
        <w:rPr>
          <w:rFonts w:ascii="맑은 고딕" w:hAnsi="맑은 고딕" w:eastAsia="맑은 고딕"/>
          <w:b w:val="0"/>
          <w:i w:val="0"/>
          <w:color w:val="222222"/>
          <w:sz w:val="21"/>
        </w:rPr>
        <w:t>전력 인프라는 실적이 따라오는 몇 안 되는 테마다. 가온전선처럼 매출·이익 증가가 확인되는 종목은 테마 소멸 이후에도 상대적으로 낙폭이 제한될 수 있다.</w:t>
      </w:r>
    </w:p>
    <w:p>
      <w:pPr>
        <w:pStyle w:val="ListBullet"/>
        <w:spacing w:after="60" w:line="300" w:lineRule="auto"/>
      </w:pPr>
      <w:r>
        <w:rPr>
          <w:rFonts w:ascii="맑은 고딕" w:hAnsi="맑은 고딕" w:eastAsia="맑은 고딕"/>
          <w:b w:val="0"/>
          <w:i w:val="0"/>
          <w:color w:val="222222"/>
          <w:sz w:val="21"/>
        </w:rPr>
        <w:t>로봇 테마는 코스피(ETF)와 코스닥(개별주)에서 동시에 관측됐다. 시장 전반의 관심이 유지되고 있음을 보여주지만, 코스닥 개별주는 상한가까지 간 반면 코스피는 ETF를 통한 간접 노출에 그쳤다는 온도 차가 있다.</w:t>
      </w:r>
    </w:p>
    <w:p>
      <w:pPr>
        <w:pStyle w:val="ListBullet"/>
        <w:spacing w:after="60" w:line="300" w:lineRule="auto"/>
      </w:pPr>
      <w:r>
        <w:rPr>
          <w:rFonts w:ascii="맑은 고딕" w:hAnsi="맑은 고딕" w:eastAsia="맑은 고딕"/>
          <w:b w:val="0"/>
          <w:i w:val="0"/>
          <w:color w:val="222222"/>
          <w:sz w:val="21"/>
        </w:rPr>
        <w:t>상한가 종목이 없는 날의 상승률 상위 종목은 상한가 종목보다 재료 지속성이 약한 경우가 많다. 추격 매수보다 재료의 실체를 확인한 뒤 접근하는 편이 안전하다.</w:t>
      </w:r>
    </w:p>
    <w:p>
      <w:pPr>
        <w:spacing w:before="120"/>
      </w:pPr>
      <w:r>
        <w:rPr>
          <w:rFonts w:ascii="맑은 고딕" w:hAnsi="맑은 고딕" w:eastAsia="맑은 고딕"/>
          <w:b/>
          <w:i w:val="0"/>
          <w:color w:val="C01E1E"/>
          <w:sz w:val="21"/>
        </w:rPr>
        <w:t>리스크 · 유의사항</w:t>
      </w:r>
    </w:p>
    <w:p>
      <w:pPr>
        <w:pStyle w:val="ListBullet"/>
        <w:spacing w:after="60" w:line="300" w:lineRule="auto"/>
      </w:pPr>
      <w:r>
        <w:rPr>
          <w:rFonts w:ascii="맑은 고딕" w:hAnsi="맑은 고딕" w:eastAsia="맑은 고딕"/>
          <w:b w:val="0"/>
          <w:i w:val="0"/>
          <w:color w:val="222222"/>
          <w:sz w:val="21"/>
        </w:rPr>
        <w:t>본 리포트의 대상 종목은 상한가 종목이 아니라 '상승률 상위 종목'이다. 2026년 7월 22일 코스피에는 상한가 종목이 존재하지 않았으므로, 통상의 상한가 리포트와 동일한 기준으로 비교해서는 안 된다.</w:t>
      </w:r>
    </w:p>
    <w:p>
      <w:pPr>
        <w:pStyle w:val="ListBullet"/>
        <w:spacing w:after="60" w:line="300" w:lineRule="auto"/>
      </w:pPr>
      <w:r>
        <w:rPr>
          <w:rFonts w:ascii="맑은 고딕" w:hAnsi="맑은 고딕" w:eastAsia="맑은 고딕"/>
          <w:b w:val="0"/>
          <w:i w:val="0"/>
          <w:color w:val="222222"/>
          <w:sz w:val="21"/>
        </w:rPr>
        <w:t>STX그린로지스는 시가총액이 작은 소형주로, 유통 물량이 적어 변동성이 극단적으로 크다. 테마 소멸 시 급락 위험이 있다.</w:t>
      </w:r>
    </w:p>
    <w:p>
      <w:pPr>
        <w:pStyle w:val="ListBullet"/>
        <w:spacing w:after="60" w:line="300" w:lineRule="auto"/>
      </w:pPr>
      <w:r>
        <w:rPr>
          <w:rFonts w:ascii="맑은 고딕" w:hAnsi="맑은 고딕" w:eastAsia="맑은 고딕"/>
          <w:b w:val="0"/>
          <w:i w:val="0"/>
          <w:color w:val="222222"/>
          <w:sz w:val="21"/>
        </w:rPr>
        <w:t>두산2우B는 우선주로서 유통 물량 부족에 따른 가격 왜곡 가능성이 있다. 보통주 대비 괴리율을 반드시 확인해야 한다.</w:t>
      </w:r>
    </w:p>
    <w:p>
      <w:pPr>
        <w:pStyle w:val="ListBullet"/>
        <w:spacing w:after="60" w:line="300" w:lineRule="auto"/>
      </w:pPr>
      <w:r>
        <w:rPr>
          <w:rFonts w:ascii="맑은 고딕" w:hAnsi="맑은 고딕" w:eastAsia="맑은 고딕"/>
          <w:b w:val="0"/>
          <w:i w:val="0"/>
          <w:color w:val="222222"/>
          <w:sz w:val="21"/>
        </w:rPr>
        <w:t>가온전선은 6월 무상증자 권리락을 거친 종목으로, 기간 수익률 비교 시 권리락에 따른 착시가 발생할 수 있다.</w:t>
      </w:r>
    </w:p>
    <w:p>
      <w:pPr>
        <w:pStyle w:val="ListBullet"/>
        <w:spacing w:after="60" w:line="300" w:lineRule="auto"/>
      </w:pPr>
      <w:r>
        <w:rPr>
          <w:rFonts w:ascii="맑은 고딕" w:hAnsi="맑은 고딕" w:eastAsia="맑은 고딕"/>
          <w:b w:val="0"/>
          <w:i w:val="0"/>
          <w:color w:val="222222"/>
          <w:sz w:val="21"/>
        </w:rPr>
        <w:t>유가·중동 테마는 정세 변화에 따라 하루 만에 방향이 뒤집힐 수 있는 이벤트 드리븐 성격이다. 상승 재료와 하락 재료가 동일한 뉴스에서 나온다는 점에 유의해야 한다.</w:t>
      </w:r>
    </w:p>
    <w:p>
      <w:pPr>
        <w:pStyle w:val="ListBullet"/>
        <w:spacing w:after="60" w:line="300" w:lineRule="auto"/>
      </w:pPr>
      <w:r>
        <w:rPr>
          <w:rFonts w:ascii="맑은 고딕" w:hAnsi="맑은 고딕" w:eastAsia="맑은 고딕"/>
          <w:b w:val="0"/>
          <w:i w:val="0"/>
          <w:color w:val="222222"/>
          <w:sz w:val="21"/>
        </w:rPr>
        <w:t>모든 수치는 2026년 7월 22일 장 종료 기준이며, 이후 시세는 변동된다.</w:t>
      </w:r>
    </w:p>
    <w:p>
      <w:pPr>
        <w:spacing w:before="320" w:after="40"/>
        <w:pBdr>
          <w:bottom w:val="single" w:sz="12" w:space="4" w:color="1F3A5F"/>
        </w:pBdr>
      </w:pPr>
      <w:r>
        <w:rPr>
          <w:rFonts w:ascii="맑은 고딕" w:hAnsi="맑은 고딕" w:eastAsia="맑은 고딕"/>
          <w:b/>
          <w:i w:val="0"/>
          <w:color w:val="1F3A5F"/>
          <w:sz w:val="30"/>
        </w:rPr>
        <w:t>6. 출처 및 면책조항</w:t>
      </w:r>
    </w:p>
    <w:p>
      <w:pPr>
        <w:spacing w:after="60" w:line="312" w:lineRule="auto"/>
      </w:pPr>
      <w:r>
        <w:rPr>
          <w:rFonts w:ascii="맑은 고딕" w:hAnsi="맑은 고딕" w:eastAsia="맑은 고딕"/>
          <w:b/>
          <w:i w:val="0"/>
          <w:color w:val="1F3A5F"/>
          <w:sz w:val="21"/>
        </w:rPr>
        <w:t>데이터 · 자료 출처</w:t>
      </w:r>
    </w:p>
    <w:p>
      <w:pPr>
        <w:pStyle w:val="ListBullet"/>
        <w:spacing w:after="60" w:line="300" w:lineRule="auto"/>
      </w:pPr>
      <w:r>
        <w:rPr>
          <w:rFonts w:ascii="맑은 고딕" w:hAnsi="맑은 고딕" w:eastAsia="맑은 고딕"/>
          <w:b w:val="0"/>
          <w:i w:val="0"/>
          <w:color w:val="222222"/>
          <w:sz w:val="21"/>
        </w:rPr>
        <w:t>다음 금융 — 국내 특징주 상한가: https://m.finance.daum.net/domestic/features/upper_limit_stocks (코스피 탭 '해당 종목이 없습니다' 확인, 07.22 장종료)</w:t>
      </w:r>
    </w:p>
    <w:p>
      <w:pPr>
        <w:pStyle w:val="ListBullet"/>
        <w:spacing w:after="60" w:line="300" w:lineRule="auto"/>
      </w:pPr>
      <w:r>
        <w:rPr>
          <w:rFonts w:ascii="맑은 고딕" w:hAnsi="맑은 고딕" w:eastAsia="맑은 고딕"/>
          <w:b w:val="0"/>
          <w:i w:val="0"/>
          <w:color w:val="222222"/>
          <w:sz w:val="21"/>
        </w:rPr>
        <w:t>다음 금융 — 국내 특징주 상승: https://m.finance.daum.net/domestic/features/rise_stocks (코스피 탭, 07.22 장종료)</w:t>
      </w:r>
    </w:p>
    <w:p>
      <w:pPr>
        <w:pStyle w:val="ListBullet"/>
        <w:spacing w:after="60" w:line="300" w:lineRule="auto"/>
      </w:pPr>
      <w:r>
        <w:rPr>
          <w:rFonts w:ascii="맑은 고딕" w:hAnsi="맑은 고딕" w:eastAsia="맑은 고딕"/>
          <w:b w:val="0"/>
          <w:i w:val="0"/>
          <w:color w:val="222222"/>
          <w:sz w:val="21"/>
        </w:rPr>
        <w:t>CBC뉴스 — 가온전선 주가 17%대 급등, 21만원 돌파</w:t>
      </w:r>
    </w:p>
    <w:p>
      <w:pPr>
        <w:pStyle w:val="ListBullet"/>
        <w:spacing w:after="60" w:line="300" w:lineRule="auto"/>
      </w:pPr>
      <w:r>
        <w:rPr>
          <w:rFonts w:ascii="맑은 고딕" w:hAnsi="맑은 고딕" w:eastAsia="맑은 고딕"/>
          <w:b w:val="0"/>
          <w:i w:val="0"/>
          <w:color w:val="222222"/>
          <w:sz w:val="21"/>
        </w:rPr>
        <w:t>다음뉴스 — [특징주] 가온전선, 美 AI·전력망 수혜 기대에 급등 / [특징주] 가온전선 무상증자 권리락</w:t>
      </w:r>
    </w:p>
    <w:p>
      <w:pPr>
        <w:pStyle w:val="ListBullet"/>
        <w:spacing w:after="60" w:line="300" w:lineRule="auto"/>
      </w:pPr>
      <w:r>
        <w:rPr>
          <w:rFonts w:ascii="맑은 고딕" w:hAnsi="맑은 고딕" w:eastAsia="맑은 고딕"/>
          <w:b w:val="0"/>
          <w:i w:val="0"/>
          <w:color w:val="222222"/>
          <w:sz w:val="21"/>
        </w:rPr>
        <w:t>CBC뉴스 — STX그린로지스 VI 발동 및 급등 관련 보도</w:t>
      </w:r>
    </w:p>
    <w:p>
      <w:pPr>
        <w:pStyle w:val="ListBullet"/>
        <w:spacing w:after="60" w:line="300" w:lineRule="auto"/>
      </w:pPr>
      <w:r>
        <w:rPr>
          <w:rFonts w:ascii="맑은 고딕" w:hAnsi="맑은 고딕" w:eastAsia="맑은 고딕"/>
          <w:b w:val="0"/>
          <w:i w:val="0"/>
          <w:color w:val="222222"/>
          <w:sz w:val="21"/>
        </w:rPr>
        <w:t>알파스퀘어·중앙이코노미뉴스 — GS건설 주가 동향</w:t>
      </w:r>
    </w:p>
    <w:p>
      <w:pPr>
        <w:spacing w:after="60" w:line="312" w:lineRule="auto"/>
      </w:pPr>
      <w:r>
        <w:rPr>
          <w:rFonts w:ascii="맑은 고딕" w:hAnsi="맑은 고딕" w:eastAsia="맑은 고딕"/>
          <w:b/>
          <w:i w:val="0"/>
          <w:color w:val="1F3A5F"/>
          <w:sz w:val="21"/>
        </w:rPr>
        <w:t>면책조항</w:t>
      </w:r>
    </w:p>
    <w:p>
      <w:pPr>
        <w:spacing w:after="120" w:line="312" w:lineRule="auto"/>
      </w:pPr>
      <w:r>
        <w:rPr>
          <w:rFonts w:ascii="맑은 고딕" w:hAnsi="맑은 고딕" w:eastAsia="맑은 고딕"/>
          <w:b w:val="0"/>
          <w:i w:val="0"/>
          <w:color w:val="6E6E6E"/>
          <w:sz w:val="19"/>
        </w:rPr>
        <w:t>본 자료는 공개된 시세·뉴스 정보를 정리한 정보 제공용 문서이며, 특정 종목의 매수·매도를 권유하지 않는다. 투자 판단과 그 결과에 대한 책임은 투자자 본인에게 있다. 특히 본 리포트는 상한가 종목이 아닌 상승률 상위 종목을 대상으로 작성되었음을 명시한다.</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