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b/>
          <w:bCs/>
          <w:sz w:val="32"/>
          <w:szCs w:val="32"/>
        </w:rPr>
        <w:t>Sachhi Saheli – Integrated NGO ERP</w:t>
      </w:r>
    </w:p>
    <w:p>
      <w:pPr>
        <w:pStyle w:val="Normal"/>
        <w:spacing w:before="0" w:after="200"/>
        <w:rPr>
          <w:b/>
          <w:bCs/>
          <w:color w:val="1F4E78"/>
          <w:sz w:val="26"/>
          <w:szCs w:val="26"/>
        </w:rPr>
      </w:pPr>
      <w:r>
        <w:rPr>
          <w:b/>
          <w:bCs/>
          <w:color w:val="1F4E78"/>
          <w:sz w:val="26"/>
          <w:szCs w:val="26"/>
        </w:rPr>
        <w:t>Phased Delivery Plan</w:t>
      </w:r>
    </w:p>
    <w:p>
      <w:pPr>
        <w:pStyle w:val="Normal"/>
        <w:spacing w:before="0" w:after="120"/>
        <w:rPr/>
      </w:pPr>
      <w:r>
        <w:rPr/>
        <w:t>This plan sequences the ERP into six delivery phases, based directly on the client's own requirement document ("Sachhi Saheli (NGO) ERP Requirement, v1"). Each phase is a self-contained, working piece of the system, built in an order where every phase only depends on what came before it.</w:t>
      </w:r>
    </w:p>
    <w:p>
      <w:pPr>
        <w:pStyle w:val="Heading1"/>
        <w:spacing w:before="240" w:after="120"/>
        <w:rPr/>
      </w:pPr>
      <w:r>
        <w:rPr/>
        <w:t>1. Key Scope Decision — Responsive Web Instead of a Native App</w:t>
      </w:r>
    </w:p>
    <w:p>
      <w:pPr>
        <w:pStyle w:val="Normal"/>
        <w:spacing w:before="0" w:after="120"/>
        <w:rPr/>
      </w:pPr>
      <w:r>
        <w:rPr/>
        <w:t>The system will be delivered as a responsive web application, usable from any device's browser — desktop, tablet or mobile — rather than a separate native Android app with offline storage and sync.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Field staff use the mobile browser directly; no app to install or update.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Note for planning: this approach needs an active connection to submit data. Fully offline capture (no signal) is a distinct capability that can be scoped as a later addition if it becomes a firm requirement.</w:t>
      </w:r>
    </w:p>
    <w:p>
      <w:pPr>
        <w:pStyle w:val="Heading1"/>
        <w:spacing w:before="240" w:after="120"/>
        <w:rPr/>
      </w:pPr>
      <w:r>
        <w:rPr/>
        <w:t>2. Payroll — What's Included</w:t>
      </w:r>
    </w:p>
    <w:p>
      <w:pPr>
        <w:pStyle w:val="Normal"/>
        <w:spacing w:before="0" w:after="120"/>
        <w:rPr/>
      </w:pPr>
      <w:r>
        <w:rPr/>
        <w:t>The client's requirement document asks for payroll and salary structure, with employee-wise payslips. This is included as follows: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Included: salary structure per employee, monthly payroll processing, payslip generation, payroll/salary reporting.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Handled as a separate item: automatic statutory compliance — PF, ESI, gratuity and TDS calculation and filing. This is specialised, regularly-updated compliance logic, and is scoped once the client confirms whether it is needed from day one or can follow later.</w:t>
      </w:r>
    </w:p>
    <w:p>
      <w:pPr>
        <w:pStyle w:val="Heading1"/>
        <w:spacing w:before="240" w:after="120"/>
        <w:rPr/>
      </w:pPr>
      <w:r>
        <w:rPr/>
        <w:t>3. Employee vs Volunteer — Shared Data Model</w:t>
      </w:r>
    </w:p>
    <w:p>
      <w:pPr>
        <w:pStyle w:val="Normal"/>
        <w:spacing w:before="0" w:after="120"/>
        <w:rPr/>
      </w:pPr>
      <w:r>
        <w:rPr/>
        <w:t>The client's document describes an "Employee/Volunteer master" — one shared record type with a Person Type field, rather than two separate structures. Profile, attendance and leave work the same way for both; payroll applies to Employees, and whether Volunteer expenses/leave are tracked the same way is confirmed with the client during Phase 2–3 setup.</w:t>
      </w:r>
    </w:p>
    <w:p>
      <w:pPr>
        <w:pStyle w:val="Heading1"/>
        <w:spacing w:before="240" w:after="120"/>
        <w:rPr/>
      </w:pPr>
      <w:r>
        <w:rPr/>
        <w:t>4. Phased Delivery Plan</w:t>
      </w:r>
    </w:p>
    <w:p>
      <w:pPr>
        <w:pStyle w:val="Normal"/>
        <w:spacing w:before="0" w:after="120"/>
        <w:rPr/>
      </w:pPr>
      <w:r>
        <w:rPr/>
        <w:t>See the attached "Phased Delivery Flow" diagram for the visual version of this table.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2199"/>
        <w:gridCol w:w="4560"/>
        <w:gridCol w:w="2601"/>
      </w:tblGrid>
      <w:tr>
        <w:trPr>
          <w:cantSplit/>
        </w:trPr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4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What's In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Why This Grouping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Phase 1 — Foundation &amp; Admin Setup</w:t>
            </w:r>
          </w:p>
        </w:tc>
        <w:tc>
          <w:tcPr>
            <w:tcW w:w="4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Organisation setup, RBAC &amp; roles (Admin, HR, Finance, Programme, Field, Management), user accounts with Person Type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Nothing else can be built or logged into before this exists.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Phase 2 — HR Core</w:t>
            </w:r>
          </w:p>
        </w:tc>
        <w:tc>
          <w:tcPr>
            <w:tcW w:w="4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Employee/Volunteer master, profile &amp; documents, department/designation/reporting hierarchy, joining &amp; exit, attendance (incl. remote), leave &amp; holiday calendar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Gets people into the system and tracked day to day.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Phase 3 — HR Payroll &amp; Claims</w:t>
            </w:r>
          </w:p>
        </w:tc>
        <w:tc>
          <w:tcPr>
            <w:tcW w:w="4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Payroll &amp; salary structure, payslip, promotion updates, reimbursement &amp; travel/expense claims, emergency advance, HR reports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 distinct, self-contained milestone once core HR is running.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Phase 4 — Finance &amp; Accounts</w:t>
            </w:r>
          </w:p>
        </w:tc>
        <w:tc>
          <w:tcPr>
            <w:tcW w:w="4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Fund in-flow (donor/project tracking, receipts), fund out-flow (expense entry, vendor &amp; beneficiary payments, approval), financial reports &amp; dashboard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Runs the organisation's money. Needs Phase 1 roles/approvals in place first.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Phase 5 — Project &amp; Portfolio Management</w:t>
            </w:r>
          </w:p>
        </w:tc>
        <w:tc>
          <w:tcPr>
            <w:tcW w:w="4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Project creation &amp; approval, budget (expected) vs fund allocation (actual), project expenses, closure &amp; completion reporting, beneficiaries, evidence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Ties funding (Phase 4) to actual project delivery.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Phase 6 — CRM &amp; Common ERP Layer</w:t>
            </w:r>
          </w:p>
        </w:tc>
        <w:tc>
          <w:tcPr>
            <w:tcW w:w="4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Donor/CSR master, beneficiary profile, CRM reports, unified dashboard, in-app notifications, document management, audit trail, MIS/export, mobile responsive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Rounds out the system once the operational core (Phases 1–5) is live.</w:t>
            </w:r>
          </w:p>
        </w:tc>
      </w:tr>
    </w:tbl>
    <w:p>
      <w:pPr>
        <w:pStyle w:val="Heading1"/>
        <w:spacing w:before="240" w:after="120"/>
        <w:rPr/>
      </w:pPr>
      <w:r>
        <w:rPr/>
        <w:t>5. Items Simplified or Deferred</w:t>
      </w:r>
    </w:p>
    <w:p>
      <w:pPr>
        <w:pStyle w:val="Normal"/>
        <w:spacing w:before="0" w:after="120"/>
        <w:rPr/>
      </w:pPr>
      <w:r>
        <w:rPr/>
        <w:t>A few items from the wider requirement list are simplified, deferred, or replaced with a more practical approach, without losing the underlying capability: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3599"/>
        <w:gridCol w:w="5761"/>
      </w:tblGrid>
      <w:tr>
        <w:trPr>
          <w:cantSplit/>
        </w:trPr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5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Approach</w:t>
            </w:r>
          </w:p>
        </w:tc>
      </w:tr>
      <w:tr>
        <w:trPr>
          <w:cantSplit/>
        </w:trPr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Native Android app + offline sync</w:t>
            </w:r>
          </w:p>
        </w:tc>
        <w:tc>
          <w:tcPr>
            <w:tcW w:w="5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Delivered as a responsive web app instead — see Section 1.</w:t>
            </w:r>
          </w:p>
        </w:tc>
      </w:tr>
      <w:tr>
        <w:trPr>
          <w:cantSplit/>
        </w:trPr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Training records (HR)</w:t>
            </w:r>
          </w:p>
        </w:tc>
        <w:tc>
          <w:tcPr>
            <w:tcW w:w="5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Not part of the client's requirement list; can be added later if needed.</w:t>
            </w:r>
          </w:p>
        </w:tc>
      </w:tr>
      <w:tr>
        <w:trPr>
          <w:cantSplit/>
        </w:trPr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Statutory payroll compliance (PF, ESI, gratuity, TDS)</w:t>
            </w:r>
          </w:p>
        </w:tc>
        <w:tc>
          <w:tcPr>
            <w:tcW w:w="5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Scoped separately once confirmed as required — see Section 2.</w:t>
            </w:r>
          </w:p>
        </w:tc>
      </w:tr>
      <w:tr>
        <w:trPr>
          <w:cantSplit/>
        </w:trPr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Geo-Tagging &amp; Field Verification as its own module</w:t>
            </w:r>
          </w:p>
        </w:tc>
        <w:tc>
          <w:tcPr>
            <w:tcW w:w="5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Folded into Field Activity as a smaller add-on once field capture is live, rather than built as a standalone module.</w:t>
            </w:r>
          </w:p>
        </w:tc>
      </w:tr>
      <w:tr>
        <w:trPr>
          <w:cantSplit/>
        </w:trPr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SMS / WhatsApp / Email notification integrations</w:t>
            </w:r>
          </w:p>
        </w:tc>
        <w:tc>
          <w:tcPr>
            <w:tcW w:w="5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In-app notifications cover this in Phase 6; third-party channels can be added on request.</w:t>
            </w:r>
          </w:p>
        </w:tc>
      </w:tr>
      <w:tr>
        <w:trPr>
          <w:cantSplit/>
        </w:trPr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Future integrations (accounting, biometric, mapping, donor portals, digital signature)</w:t>
            </w:r>
          </w:p>
        </w:tc>
        <w:tc>
          <w:tcPr>
            <w:tcW w:w="5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Listed as future items in the client's own document; not part of this build.</w:t>
            </w:r>
          </w:p>
        </w:tc>
      </w:tr>
      <w:tr>
        <w:trPr>
          <w:cantSplit/>
        </w:trPr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Four separate dashboards (Management / Project / HR / Finance)</w:t>
            </w:r>
          </w:p>
        </w:tc>
        <w:tc>
          <w:tcPr>
            <w:tcW w:w="5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Delivered as one unified, role-based dashboard in Phase 6 — same information, one screen.</w:t>
            </w:r>
          </w:p>
        </w:tc>
      </w:tr>
      <w:tr>
        <w:trPr>
          <w:cantSplit/>
        </w:trPr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Configurable approval engine</w:t>
            </w:r>
          </w:p>
        </w:tc>
        <w:tc>
          <w:tcPr>
            <w:tcW w:w="5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Delivered as fixed approval chains for leave, travel, purchase and budget, covering the day-to-day need.</w:t>
            </w:r>
          </w:p>
        </w:tc>
      </w:tr>
      <w:tr>
        <w:trPr>
          <w:cantSplit/>
        </w:trPr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Standalone Audit &amp; Compliance module</w:t>
            </w:r>
          </w:p>
        </w:tc>
        <w:tc>
          <w:tcPr>
            <w:tcW w:w="5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Activity/approval history is kept as part of the Workflow layer instead of a separate audit system.</w:t>
            </w:r>
          </w:p>
        </w:tc>
      </w:tr>
    </w:tbl>
    <w:p>
      <w:pPr>
        <w:pStyle w:val="Heading1"/>
        <w:spacing w:before="240" w:after="120"/>
        <w:rPr/>
      </w:pPr>
      <w:r>
        <w:rPr/>
        <w:t>6. Nothing Moves Ahead of Phase 1</w:t>
      </w:r>
    </w:p>
    <w:p>
      <w:pPr>
        <w:pStyle w:val="Normal"/>
        <w:spacing w:before="0" w:after="120"/>
        <w:rPr/>
      </w:pPr>
      <w:r>
        <w:rPr/>
        <w:t>Phase 1 stays exactly as scoped: organisation setup, RBAC and user accounts only. Every other phase depends on it, so it stays first and stays small.</w:t>
      </w:r>
    </w:p>
    <w:p>
      <w:pPr>
        <w:pStyle w:val="Heading1"/>
        <w:spacing w:before="240" w:after="120"/>
        <w:rPr/>
      </w:pPr>
      <w:r>
        <w:rPr/>
        <w:t>7. What Could Move Up From Phase 6</w:t>
      </w:r>
    </w:p>
    <w:p>
      <w:pPr>
        <w:pStyle w:val="Normal"/>
        <w:spacing w:before="0" w:after="120"/>
        <w:rPr/>
      </w:pPr>
      <w:r>
        <w:rPr/>
        <w:t>A few Phase 6 items are worth watching, because NGOs are usually judged by donors on exactly this data. Flagging them here so the client can decide — they are not pulled forward by default: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Evidence &amp; Documentation — photos/records proving activities happened. Donors often ask for this before releasing the next grant tranche.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M&amp;E (basic indicators only) — target-vs-achievement numbers. Also common in donor reports.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Donor/CSR CRM (basic) — donor and CSR partner records; the client's document lists this as its own module, separate from Finance.</w:t>
      </w:r>
    </w:p>
    <w:p>
      <w:pPr>
        <w:pStyle w:val="Normal"/>
        <w:spacing w:before="0" w:after="120"/>
        <w:rPr/>
      </w:pPr>
      <w:r>
        <w:rPr/>
        <w:t>Recommendation: leave all three in Phase 6 for now, and revisit if a donor reporting deadline requires earlier access to this data.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58000" cy="643826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438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2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2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LibreOffice/26.2.5.2$Linux_X86_64 LibreOffice_project/6d2b0d33fb0f5da53a12f98bed3e9973e56ff1f0</Application>
  <AppVersion>15.0000</AppVersion>
  <Pages>3</Pages>
  <Words>866</Words>
  <Characters>4816</Characters>
  <CharactersWithSpaces>5628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2026-09-24T22:00:55Z</dcterms:created>
  <dc:creator>Un-named</dc:creator>
  <dc:description/>
  <dc:language>en-US</dc:language>
  <cp:lastModifiedBy/>
  <dcterms:modified xsi:type="dcterms:W3CDTF">2026-09-25T03:33:17Z</dcterms:modified>
  <cp:revision>2</cp:revision>
  <dc:subject/>
  <dc:title/>
</cp:coreProperties>
</file>