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Design First Approach to GenU</w:t>
      </w:r>
    </w:p>
    <w:p>
      <w:pPr>
        <w:pStyle w:val="Subtitle"/>
        <w:jc w:val="center"/>
      </w:pPr>
      <w:r>
        <w:t>Engineering a governed Amazon Bedrock application from business intent to production evidence</w:t>
      </w:r>
    </w:p>
    <w:p/>
    <w:p>
      <w:pPr>
        <w:jc w:val="center"/>
      </w:pPr>
      <w:r>
        <w:drawing>
          <wp:inline xmlns:a="http://schemas.openxmlformats.org/drawingml/2006/main" xmlns:pic="http://schemas.openxmlformats.org/drawingml/2006/picture">
            <wp:extent cx="6126480" cy="3447977"/>
            <wp:docPr id="1" name="Picture 1"/>
            <wp:cNvGraphicFramePr>
              <a:graphicFrameLocks noChangeAspect="1"/>
            </wp:cNvGraphicFramePr>
            <a:graphic>
              <a:graphicData uri="http://schemas.openxmlformats.org/drawingml/2006/picture">
                <pic:pic>
                  <pic:nvPicPr>
                    <pic:cNvPr id="0" name="exec-2ce7b9d0-24db-42b0-a660-c017ca7359cd.png"/>
                    <pic:cNvPicPr/>
                  </pic:nvPicPr>
                  <pic:blipFill>
                    <a:blip r:embed="rId9"/>
                    <a:stretch>
                      <a:fillRect/>
                    </a:stretch>
                  </pic:blipFill>
                  <pic:spPr>
                    <a:xfrm>
                      <a:off x="0" y="0"/>
                      <a:ext cx="6126480" cy="3447977"/>
                    </a:xfrm>
                    <a:prstGeom prst="rect"/>
                  </pic:spPr>
                </pic:pic>
              </a:graphicData>
            </a:graphic>
          </wp:inline>
        </w:drawing>
      </w:r>
    </w:p>
    <w:p>
      <w:pPr>
        <w:pStyle w:val="FigureCaption"/>
        <w:jc w:val="center"/>
      </w:pPr>
      <w:r>
        <w:t>GenU production architecture derived from the current AWS sample and strengthened through explicit contracts and governance.</w:t>
      </w:r>
    </w:p>
    <w:p/>
    <w:p>
      <w:pPr>
        <w:jc w:val="center"/>
      </w:pPr>
      <w:r>
        <w:rPr>
          <w:b/>
          <w:sz w:val="22"/>
        </w:rPr>
        <w:t>Case study based on aws-samples generative-ai-use-cases</w:t>
      </w:r>
    </w:p>
    <w:p>
      <w:pPr>
        <w:jc w:val="center"/>
      </w:pPr>
      <w:r>
        <w:rPr>
          <w:sz w:val="20"/>
        </w:rPr>
        <w:t>Prepared for cloud architecture security and generative AI education</w:t>
      </w:r>
    </w:p>
    <w:p>
      <w:pPr>
        <w:jc w:val="center"/>
      </w:pPr>
      <w:r>
        <w:rPr>
          <w:sz w:val="20"/>
        </w:rPr>
        <w:t>September 2026</w:t>
      </w:r>
    </w:p>
    <w:p>
      <w:r>
        <w:br w:type="page"/>
      </w:r>
    </w:p>
    <w:p>
      <w:pPr>
        <w:pStyle w:val="Heading1"/>
      </w:pPr>
      <w:r>
        <w:t>Executive summary</w:t>
      </w:r>
    </w:p>
    <w:p>
      <w:r>
        <w:t>GenU is an AWS open source application that combines a React interface, Amazon Cognito, API Gateway, AWS Lambda, Amazon Bedrock, retrieval augmented generation, agents, multimodal features and infrastructure as code. Its breadth makes it a useful case study for design-first engineering because a feature-led implementation alone does not establish which outcomes matter, which rules must always hold, or what evidence is required before release.</w:t>
      </w:r>
    </w:p>
    <w:p>
      <w:r>
        <w:t>The design-first approach begins with the business problem and turns it into traceable requirements, invariants and executable contracts before selecting or modifying implementation components. For GenU, this produces clear boundaries around identity, knowledge access, model selection, agent authority, cost, recovery and evidence. The current source provides a strong reference foundation, but production use requires narrower IAM policies, durable data settings, governed document ingestion, asynchronous handling of long-running work, explicit evaluation gates and tested recovery procedures.</w:t>
      </w:r>
    </w:p>
    <w:p>
      <w:r>
        <w:t>The central conclusion is that GenU should be treated as an extensible AI experience platform. Deterministic services must retain control of authentication, authorization, validation, budgets, tool permissions and consequential actions. Model output remains evidence-informed advice or generated content; it does not become an authority boundary.</w:t>
      </w:r>
    </w:p>
    <w:p>
      <w:pPr>
        <w:pStyle w:val="Heading2"/>
      </w:pPr>
      <w:r>
        <w:t>Study scope and method</w:t>
      </w:r>
    </w:p>
    <w:p>
      <w:r>
        <w:t>This paper examines the GenU repository architecture and applies the AWS Well-Architected Framework and the AWS Well-Architected Generative AI Lens. It separates source-confirmed implementation features from recommended production controls. The analysis follows six design stages: business framing, invariants and roles, contract design, threats and failures, continuous verification, and production evidence.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656"/>
            <w:shd w:fill="17365D"/>
            <w:vAlign w:val="center"/>
            <w:tcMar>
              <w:top w:w="100" w:type="dxa"/>
              <w:start w:w="110" w:type="dxa"/>
              <w:bottom w:w="100" w:type="dxa"/>
              <w:end w:w="110" w:type="dxa"/>
            </w:tcMar>
          </w:tcPr>
          <w:p>
            <w:r>
              <w:rPr>
                <w:b/>
                <w:color w:val="FFFFFF"/>
                <w:sz w:val="18"/>
              </w:rPr>
              <w:t>Area</w:t>
            </w:r>
          </w:p>
        </w:tc>
        <w:tc>
          <w:tcPr>
            <w:tcW w:type="dxa" w:w="3672"/>
            <w:shd w:fill="17365D"/>
            <w:vAlign w:val="center"/>
            <w:tcMar>
              <w:top w:w="100" w:type="dxa"/>
              <w:start w:w="110" w:type="dxa"/>
              <w:bottom w:w="100" w:type="dxa"/>
              <w:end w:w="110" w:type="dxa"/>
            </w:tcMar>
          </w:tcPr>
          <w:p>
            <w:r>
              <w:rPr>
                <w:b/>
                <w:color w:val="FFFFFF"/>
                <w:sz w:val="18"/>
              </w:rPr>
              <w:t>Source confirmed baseline</w:t>
            </w:r>
          </w:p>
        </w:tc>
        <w:tc>
          <w:tcPr>
            <w:tcW w:type="dxa" w:w="3744"/>
            <w:shd w:fill="17365D"/>
            <w:vAlign w:val="center"/>
            <w:tcMar>
              <w:top w:w="100" w:type="dxa"/>
              <w:start w:w="110" w:type="dxa"/>
              <w:bottom w:w="100" w:type="dxa"/>
              <w:end w:w="110" w:type="dxa"/>
            </w:tcMar>
          </w:tcPr>
          <w:p>
            <w:r>
              <w:rPr>
                <w:b/>
                <w:color w:val="FFFFFF"/>
                <w:sz w:val="18"/>
              </w:rPr>
              <w:t>Design first extension</w:t>
            </w:r>
          </w:p>
        </w:tc>
      </w:tr>
      <w:tr>
        <w:tc>
          <w:tcPr>
            <w:tcW w:type="dxa" w:w="1656"/>
            <w:vAlign w:val="center"/>
            <w:shd w:fill="FFFFFF"/>
            <w:tcMar>
              <w:top w:w="100" w:type="dxa"/>
              <w:start w:w="110" w:type="dxa"/>
              <w:bottom w:w="100" w:type="dxa"/>
              <w:end w:w="110" w:type="dxa"/>
            </w:tcMar>
          </w:tcPr>
          <w:p>
            <w:pPr>
              <w:spacing w:after="20"/>
            </w:pPr>
            <w:r>
              <w:rPr>
                <w:sz w:val="17"/>
              </w:rPr>
              <w:t>Experience</w:t>
            </w:r>
          </w:p>
        </w:tc>
        <w:tc>
          <w:tcPr>
            <w:tcW w:type="dxa" w:w="3672"/>
            <w:vAlign w:val="center"/>
            <w:shd w:fill="FFFFFF"/>
            <w:tcMar>
              <w:top w:w="100" w:type="dxa"/>
              <w:start w:w="110" w:type="dxa"/>
              <w:bottom w:w="100" w:type="dxa"/>
              <w:end w:w="110" w:type="dxa"/>
            </w:tcMar>
          </w:tcPr>
          <w:p>
            <w:pPr>
              <w:spacing w:after="20"/>
            </w:pPr>
            <w:r>
              <w:rPr>
                <w:sz w:val="17"/>
              </w:rPr>
              <w:t>React SPA with chat, RAG, media, voice and agent use cases</w:t>
            </w:r>
          </w:p>
        </w:tc>
        <w:tc>
          <w:tcPr>
            <w:tcW w:type="dxa" w:w="3744"/>
            <w:vAlign w:val="center"/>
            <w:shd w:fill="FFFFFF"/>
            <w:tcMar>
              <w:top w:w="100" w:type="dxa"/>
              <w:start w:w="110" w:type="dxa"/>
              <w:bottom w:w="100" w:type="dxa"/>
              <w:end w:w="110" w:type="dxa"/>
            </w:tcMar>
          </w:tcPr>
          <w:p>
            <w:pPr>
              <w:spacing w:after="20"/>
            </w:pPr>
            <w:r>
              <w:rPr>
                <w:sz w:val="17"/>
              </w:rPr>
              <w:t>Use-case outcomes, user roles and permitted capabilities</w:t>
            </w:r>
          </w:p>
        </w:tc>
      </w:tr>
      <w:tr>
        <w:tc>
          <w:tcPr>
            <w:tcW w:type="dxa" w:w="1656"/>
            <w:vAlign w:val="center"/>
            <w:shd w:fill="EDF3F8"/>
            <w:tcMar>
              <w:top w:w="100" w:type="dxa"/>
              <w:start w:w="110" w:type="dxa"/>
              <w:bottom w:w="100" w:type="dxa"/>
              <w:end w:w="110" w:type="dxa"/>
            </w:tcMar>
          </w:tcPr>
          <w:p>
            <w:pPr>
              <w:spacing w:after="20"/>
            </w:pPr>
            <w:r>
              <w:rPr>
                <w:sz w:val="17"/>
              </w:rPr>
              <w:t>Identity</w:t>
            </w:r>
          </w:p>
        </w:tc>
        <w:tc>
          <w:tcPr>
            <w:tcW w:type="dxa" w:w="3672"/>
            <w:vAlign w:val="center"/>
            <w:shd w:fill="EDF3F8"/>
            <w:tcMar>
              <w:top w:w="100" w:type="dxa"/>
              <w:start w:w="110" w:type="dxa"/>
              <w:bottom w:w="100" w:type="dxa"/>
              <w:end w:w="110" w:type="dxa"/>
            </w:tcMar>
          </w:tcPr>
          <w:p>
            <w:pPr>
              <w:spacing w:after="20"/>
            </w:pPr>
            <w:r>
              <w:rPr>
                <w:sz w:val="17"/>
              </w:rPr>
              <w:t>Cognito User Pool, Identity Pool and optional SAML</w:t>
            </w:r>
          </w:p>
        </w:tc>
        <w:tc>
          <w:tcPr>
            <w:tcW w:type="dxa" w:w="3744"/>
            <w:vAlign w:val="center"/>
            <w:shd w:fill="EDF3F8"/>
            <w:tcMar>
              <w:top w:w="100" w:type="dxa"/>
              <w:start w:w="110" w:type="dxa"/>
              <w:bottom w:w="100" w:type="dxa"/>
              <w:end w:w="110" w:type="dxa"/>
            </w:tcMar>
          </w:tcPr>
          <w:p>
            <w:pPr>
              <w:spacing w:after="20"/>
            </w:pPr>
            <w:r>
              <w:rPr>
                <w:sz w:val="17"/>
              </w:rPr>
              <w:t>RBAC, ABAC, MFA and resource ownership checks</w:t>
            </w:r>
          </w:p>
        </w:tc>
      </w:tr>
      <w:tr>
        <w:tc>
          <w:tcPr>
            <w:tcW w:type="dxa" w:w="1656"/>
            <w:vAlign w:val="center"/>
            <w:shd w:fill="FFFFFF"/>
            <w:tcMar>
              <w:top w:w="100" w:type="dxa"/>
              <w:start w:w="110" w:type="dxa"/>
              <w:bottom w:w="100" w:type="dxa"/>
              <w:end w:w="110" w:type="dxa"/>
            </w:tcMar>
          </w:tcPr>
          <w:p>
            <w:pPr>
              <w:spacing w:after="20"/>
            </w:pPr>
            <w:r>
              <w:rPr>
                <w:sz w:val="17"/>
              </w:rPr>
              <w:t>Application</w:t>
            </w:r>
          </w:p>
        </w:tc>
        <w:tc>
          <w:tcPr>
            <w:tcW w:type="dxa" w:w="3672"/>
            <w:vAlign w:val="center"/>
            <w:shd w:fill="FFFFFF"/>
            <w:tcMar>
              <w:top w:w="100" w:type="dxa"/>
              <w:start w:w="110" w:type="dxa"/>
              <w:bottom w:w="100" w:type="dxa"/>
              <w:end w:w="110" w:type="dxa"/>
            </w:tcMar>
          </w:tcPr>
          <w:p>
            <w:pPr>
              <w:spacing w:after="20"/>
            </w:pPr>
            <w:r>
              <w:rPr>
                <w:sz w:val="17"/>
              </w:rPr>
              <w:t>API Gateway, Express Lambda and direct streaming Lambda</w:t>
            </w:r>
          </w:p>
        </w:tc>
        <w:tc>
          <w:tcPr>
            <w:tcW w:type="dxa" w:w="3744"/>
            <w:vAlign w:val="center"/>
            <w:shd w:fill="FFFFFF"/>
            <w:tcMar>
              <w:top w:w="100" w:type="dxa"/>
              <w:start w:w="110" w:type="dxa"/>
              <w:bottom w:w="100" w:type="dxa"/>
              <w:end w:w="110" w:type="dxa"/>
            </w:tcMar>
          </w:tcPr>
          <w:p>
            <w:pPr>
              <w:spacing w:after="20"/>
            </w:pPr>
            <w:r>
              <w:rPr>
                <w:sz w:val="17"/>
              </w:rPr>
              <w:t>Contract enforcement, bounded time and idempotency</w:t>
            </w:r>
          </w:p>
        </w:tc>
      </w:tr>
      <w:tr>
        <w:tc>
          <w:tcPr>
            <w:tcW w:type="dxa" w:w="1656"/>
            <w:vAlign w:val="center"/>
            <w:shd w:fill="EDF3F8"/>
            <w:tcMar>
              <w:top w:w="100" w:type="dxa"/>
              <w:start w:w="110" w:type="dxa"/>
              <w:bottom w:w="100" w:type="dxa"/>
              <w:end w:w="110" w:type="dxa"/>
            </w:tcMar>
          </w:tcPr>
          <w:p>
            <w:pPr>
              <w:spacing w:after="20"/>
            </w:pPr>
            <w:r>
              <w:rPr>
                <w:sz w:val="17"/>
              </w:rPr>
              <w:t>AI</w:t>
            </w:r>
          </w:p>
        </w:tc>
        <w:tc>
          <w:tcPr>
            <w:tcW w:type="dxa" w:w="3672"/>
            <w:vAlign w:val="center"/>
            <w:shd w:fill="EDF3F8"/>
            <w:tcMar>
              <w:top w:w="100" w:type="dxa"/>
              <w:start w:w="110" w:type="dxa"/>
              <w:bottom w:w="100" w:type="dxa"/>
              <w:end w:w="110" w:type="dxa"/>
            </w:tcMar>
          </w:tcPr>
          <w:p>
            <w:pPr>
              <w:spacing w:after="20"/>
            </w:pPr>
            <w:r>
              <w:rPr>
                <w:sz w:val="17"/>
              </w:rPr>
              <w:t>Bedrock models, Guardrails, Flows, Agents and AgentCore</w:t>
            </w:r>
          </w:p>
        </w:tc>
        <w:tc>
          <w:tcPr>
            <w:tcW w:type="dxa" w:w="3744"/>
            <w:vAlign w:val="center"/>
            <w:shd w:fill="EDF3F8"/>
            <w:tcMar>
              <w:top w:w="100" w:type="dxa"/>
              <w:start w:w="110" w:type="dxa"/>
              <w:bottom w:w="100" w:type="dxa"/>
              <w:end w:w="110" w:type="dxa"/>
            </w:tcMar>
          </w:tcPr>
          <w:p>
            <w:pPr>
              <w:spacing w:after="20"/>
            </w:pPr>
            <w:r>
              <w:rPr>
                <w:sz w:val="17"/>
              </w:rPr>
              <w:t>Model allowlists, output schemas, approval gates and evaluations</w:t>
            </w:r>
          </w:p>
        </w:tc>
      </w:tr>
      <w:tr>
        <w:tc>
          <w:tcPr>
            <w:tcW w:type="dxa" w:w="1656"/>
            <w:vAlign w:val="center"/>
            <w:shd w:fill="FFFFFF"/>
            <w:tcMar>
              <w:top w:w="100" w:type="dxa"/>
              <w:start w:w="110" w:type="dxa"/>
              <w:bottom w:w="100" w:type="dxa"/>
              <w:end w:w="110" w:type="dxa"/>
            </w:tcMar>
          </w:tcPr>
          <w:p>
            <w:pPr>
              <w:spacing w:after="20"/>
            </w:pPr>
            <w:r>
              <w:rPr>
                <w:sz w:val="17"/>
              </w:rPr>
              <w:t>Knowledge</w:t>
            </w:r>
          </w:p>
        </w:tc>
        <w:tc>
          <w:tcPr>
            <w:tcW w:type="dxa" w:w="3672"/>
            <w:vAlign w:val="center"/>
            <w:shd w:fill="FFFFFF"/>
            <w:tcMar>
              <w:top w:w="100" w:type="dxa"/>
              <w:start w:w="110" w:type="dxa"/>
              <w:bottom w:w="100" w:type="dxa"/>
              <w:end w:w="110" w:type="dxa"/>
            </w:tcMar>
          </w:tcPr>
          <w:p>
            <w:pPr>
              <w:spacing w:after="20"/>
            </w:pPr>
            <w:r>
              <w:rPr>
                <w:sz w:val="17"/>
              </w:rPr>
              <w:t>Knowledge Bases, Kendra, OpenSearch Serverless or S3 Vectors</w:t>
            </w:r>
          </w:p>
        </w:tc>
        <w:tc>
          <w:tcPr>
            <w:tcW w:type="dxa" w:w="3744"/>
            <w:vAlign w:val="center"/>
            <w:shd w:fill="FFFFFF"/>
            <w:tcMar>
              <w:top w:w="100" w:type="dxa"/>
              <w:start w:w="110" w:type="dxa"/>
              <w:bottom w:w="100" w:type="dxa"/>
              <w:end w:w="110" w:type="dxa"/>
            </w:tcMar>
          </w:tcPr>
          <w:p>
            <w:pPr>
              <w:spacing w:after="20"/>
            </w:pPr>
            <w:r>
              <w:rPr>
                <w:sz w:val="17"/>
              </w:rPr>
              <w:t>Governed ingestion, provenance, access filtering and evidence thresholds</w:t>
            </w:r>
          </w:p>
        </w:tc>
      </w:tr>
      <w:tr>
        <w:tc>
          <w:tcPr>
            <w:tcW w:type="dxa" w:w="1656"/>
            <w:vAlign w:val="center"/>
            <w:shd w:fill="EDF3F8"/>
            <w:tcMar>
              <w:top w:w="100" w:type="dxa"/>
              <w:start w:w="110" w:type="dxa"/>
              <w:bottom w:w="100" w:type="dxa"/>
              <w:end w:w="110" w:type="dxa"/>
            </w:tcMar>
          </w:tcPr>
          <w:p>
            <w:pPr>
              <w:spacing w:after="20"/>
            </w:pPr>
            <w:r>
              <w:rPr>
                <w:sz w:val="17"/>
              </w:rPr>
              <w:t>Operations</w:t>
            </w:r>
          </w:p>
        </w:tc>
        <w:tc>
          <w:tcPr>
            <w:tcW w:type="dxa" w:w="3672"/>
            <w:vAlign w:val="center"/>
            <w:shd w:fill="EDF3F8"/>
            <w:tcMar>
              <w:top w:w="100" w:type="dxa"/>
              <w:start w:w="110" w:type="dxa"/>
              <w:bottom w:w="100" w:type="dxa"/>
              <w:end w:w="110" w:type="dxa"/>
            </w:tcMar>
          </w:tcPr>
          <w:p>
            <w:pPr>
              <w:spacing w:after="20"/>
            </w:pPr>
            <w:r>
              <w:rPr>
                <w:sz w:val="17"/>
              </w:rPr>
              <w:t>CDK, CloudWatch and token statistics</w:t>
            </w:r>
          </w:p>
        </w:tc>
        <w:tc>
          <w:tcPr>
            <w:tcW w:type="dxa" w:w="3744"/>
            <w:vAlign w:val="center"/>
            <w:shd w:fill="EDF3F8"/>
            <w:tcMar>
              <w:top w:w="100" w:type="dxa"/>
              <w:start w:w="110" w:type="dxa"/>
              <w:bottom w:w="100" w:type="dxa"/>
              <w:end w:w="110" w:type="dxa"/>
            </w:tcMar>
          </w:tcPr>
          <w:p>
            <w:pPr>
              <w:spacing w:after="20"/>
            </w:pPr>
            <w:r>
              <w:rPr>
                <w:sz w:val="17"/>
              </w:rPr>
              <w:t>Release gates, recovery tests, budgets and audit evidence</w:t>
            </w:r>
          </w:p>
        </w:tc>
      </w:tr>
    </w:tbl>
    <w:p>
      <w:pPr>
        <w:spacing w:after="20"/>
      </w:pPr>
    </w:p>
    <w:p>
      <w:pPr>
        <w:pStyle w:val="Heading1"/>
      </w:pPr>
      <w:r>
        <w:t>1 GenU as the case study</w:t>
      </w:r>
    </w:p>
    <w:p>
      <w:pPr>
        <w:pStyle w:val="Heading2"/>
      </w:pPr>
      <w:r>
        <w:t>1.1 Application purpose</w:t>
      </w:r>
    </w:p>
    <w:p>
      <w:r>
        <w:t>GenU addresses the repeated engineering work that occurs when organizations build separate applications for chat, summarization, RAG, document analysis, media generation and agents. It provides a common interface and shared AWS foundation so approved use cases can reuse identity, storage, model invocation and monitoring services.</w:t>
      </w:r>
    </w:p>
    <w:p>
      <w:pPr>
        <w:pStyle w:val="Heading2"/>
      </w:pPr>
      <w:r>
        <w:t>1.2 Current source architecture</w:t>
      </w:r>
    </w:p>
    <w:p>
      <w:r>
        <w:t>The current repository is a TypeScript monorepo. The web package contains the React application. The CDK package builds the frontend, identity, APIs, data stores and optional AI stacks. The main REST surface is an Express application running in Lambda through the Lambda Web Adapter. The browser uses a second path for streamed responses by obtaining temporary AWS credentials from a Cognito Identity Pool and invoking a streaming Lambda directly.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440"/>
            <w:shd w:fill="17365D"/>
            <w:vAlign w:val="center"/>
            <w:tcMar>
              <w:top w:w="100" w:type="dxa"/>
              <w:start w:w="110" w:type="dxa"/>
              <w:bottom w:w="100" w:type="dxa"/>
              <w:end w:w="110" w:type="dxa"/>
            </w:tcMar>
          </w:tcPr>
          <w:p>
            <w:r>
              <w:rPr>
                <w:b/>
                <w:color w:val="FFFFFF"/>
                <w:sz w:val="18"/>
              </w:rPr>
              <w:t>Layer</w:t>
            </w:r>
          </w:p>
        </w:tc>
        <w:tc>
          <w:tcPr>
            <w:tcW w:type="dxa" w:w="3744"/>
            <w:shd w:fill="17365D"/>
            <w:vAlign w:val="center"/>
            <w:tcMar>
              <w:top w:w="100" w:type="dxa"/>
              <w:start w:w="110" w:type="dxa"/>
              <w:bottom w:w="100" w:type="dxa"/>
              <w:end w:w="110" w:type="dxa"/>
            </w:tcMar>
          </w:tcPr>
          <w:p>
            <w:r>
              <w:rPr>
                <w:b/>
                <w:color w:val="FFFFFF"/>
                <w:sz w:val="18"/>
              </w:rPr>
              <w:t>Principal components</w:t>
            </w:r>
          </w:p>
        </w:tc>
        <w:tc>
          <w:tcPr>
            <w:tcW w:type="dxa" w:w="3888"/>
            <w:shd w:fill="17365D"/>
            <w:vAlign w:val="center"/>
            <w:tcMar>
              <w:top w:w="100" w:type="dxa"/>
              <w:start w:w="110" w:type="dxa"/>
              <w:bottom w:w="100" w:type="dxa"/>
              <w:end w:w="110" w:type="dxa"/>
            </w:tcMar>
          </w:tcPr>
          <w:p>
            <w:r>
              <w:rPr>
                <w:b/>
                <w:color w:val="FFFFFF"/>
                <w:sz w:val="18"/>
              </w:rPr>
              <w:t>Purpose</w:t>
            </w:r>
          </w:p>
        </w:tc>
      </w:tr>
      <w:tr>
        <w:tc>
          <w:tcPr>
            <w:tcW w:type="dxa" w:w="1440"/>
            <w:vAlign w:val="center"/>
            <w:shd w:fill="FFFFFF"/>
            <w:tcMar>
              <w:top w:w="100" w:type="dxa"/>
              <w:start w:w="110" w:type="dxa"/>
              <w:bottom w:w="100" w:type="dxa"/>
              <w:end w:w="110" w:type="dxa"/>
            </w:tcMar>
          </w:tcPr>
          <w:p>
            <w:pPr>
              <w:spacing w:after="20"/>
            </w:pPr>
            <w:r>
              <w:rPr>
                <w:sz w:val="17"/>
              </w:rPr>
              <w:t>Edge</w:t>
            </w:r>
          </w:p>
        </w:tc>
        <w:tc>
          <w:tcPr>
            <w:tcW w:type="dxa" w:w="3744"/>
            <w:vAlign w:val="center"/>
            <w:shd w:fill="FFFFFF"/>
            <w:tcMar>
              <w:top w:w="100" w:type="dxa"/>
              <w:start w:w="110" w:type="dxa"/>
              <w:bottom w:w="100" w:type="dxa"/>
              <w:end w:w="110" w:type="dxa"/>
            </w:tcMar>
          </w:tcPr>
          <w:p>
            <w:pPr>
              <w:spacing w:after="20"/>
            </w:pPr>
            <w:r>
              <w:rPr>
                <w:sz w:val="17"/>
              </w:rPr>
              <w:t>CloudFront, private S3, optional WAF</w:t>
            </w:r>
          </w:p>
        </w:tc>
        <w:tc>
          <w:tcPr>
            <w:tcW w:type="dxa" w:w="3888"/>
            <w:vAlign w:val="center"/>
            <w:shd w:fill="FFFFFF"/>
            <w:tcMar>
              <w:top w:w="100" w:type="dxa"/>
              <w:start w:w="110" w:type="dxa"/>
              <w:bottom w:w="100" w:type="dxa"/>
              <w:end w:w="110" w:type="dxa"/>
            </w:tcMar>
          </w:tcPr>
          <w:p>
            <w:pPr>
              <w:spacing w:after="20"/>
            </w:pPr>
            <w:r>
              <w:rPr>
                <w:sz w:val="17"/>
              </w:rPr>
              <w:t>Deliver the SPA and apply edge controls</w:t>
            </w:r>
          </w:p>
        </w:tc>
      </w:tr>
      <w:tr>
        <w:tc>
          <w:tcPr>
            <w:tcW w:type="dxa" w:w="1440"/>
            <w:vAlign w:val="center"/>
            <w:shd w:fill="EDF3F8"/>
            <w:tcMar>
              <w:top w:w="100" w:type="dxa"/>
              <w:start w:w="110" w:type="dxa"/>
              <w:bottom w:w="100" w:type="dxa"/>
              <w:end w:w="110" w:type="dxa"/>
            </w:tcMar>
          </w:tcPr>
          <w:p>
            <w:pPr>
              <w:spacing w:after="20"/>
            </w:pPr>
            <w:r>
              <w:rPr>
                <w:sz w:val="17"/>
              </w:rPr>
              <w:t>Identity</w:t>
            </w:r>
          </w:p>
        </w:tc>
        <w:tc>
          <w:tcPr>
            <w:tcW w:type="dxa" w:w="3744"/>
            <w:vAlign w:val="center"/>
            <w:shd w:fill="EDF3F8"/>
            <w:tcMar>
              <w:top w:w="100" w:type="dxa"/>
              <w:start w:w="110" w:type="dxa"/>
              <w:bottom w:w="100" w:type="dxa"/>
              <w:end w:w="110" w:type="dxa"/>
            </w:tcMar>
          </w:tcPr>
          <w:p>
            <w:pPr>
              <w:spacing w:after="20"/>
            </w:pPr>
            <w:r>
              <w:rPr>
                <w:sz w:val="17"/>
              </w:rPr>
              <w:t>Cognito User Pool, Identity Pool, SAML</w:t>
            </w:r>
          </w:p>
        </w:tc>
        <w:tc>
          <w:tcPr>
            <w:tcW w:type="dxa" w:w="3888"/>
            <w:vAlign w:val="center"/>
            <w:shd w:fill="EDF3F8"/>
            <w:tcMar>
              <w:top w:w="100" w:type="dxa"/>
              <w:start w:w="110" w:type="dxa"/>
              <w:bottom w:w="100" w:type="dxa"/>
              <w:end w:w="110" w:type="dxa"/>
            </w:tcMar>
          </w:tcPr>
          <w:p>
            <w:pPr>
              <w:spacing w:after="20"/>
            </w:pPr>
            <w:r>
              <w:rPr>
                <w:sz w:val="17"/>
              </w:rPr>
              <w:t>Authenticate users and issue tokens or temporary credentials</w:t>
            </w:r>
          </w:p>
        </w:tc>
      </w:tr>
      <w:tr>
        <w:tc>
          <w:tcPr>
            <w:tcW w:type="dxa" w:w="1440"/>
            <w:vAlign w:val="center"/>
            <w:shd w:fill="FFFFFF"/>
            <w:tcMar>
              <w:top w:w="100" w:type="dxa"/>
              <w:start w:w="110" w:type="dxa"/>
              <w:bottom w:w="100" w:type="dxa"/>
              <w:end w:w="110" w:type="dxa"/>
            </w:tcMar>
          </w:tcPr>
          <w:p>
            <w:pPr>
              <w:spacing w:after="20"/>
            </w:pPr>
            <w:r>
              <w:rPr>
                <w:sz w:val="17"/>
              </w:rPr>
              <w:t>API</w:t>
            </w:r>
          </w:p>
        </w:tc>
        <w:tc>
          <w:tcPr>
            <w:tcW w:type="dxa" w:w="3744"/>
            <w:vAlign w:val="center"/>
            <w:shd w:fill="FFFFFF"/>
            <w:tcMar>
              <w:top w:w="100" w:type="dxa"/>
              <w:start w:w="110" w:type="dxa"/>
              <w:bottom w:w="100" w:type="dxa"/>
              <w:end w:w="110" w:type="dxa"/>
            </w:tcMar>
          </w:tcPr>
          <w:p>
            <w:pPr>
              <w:spacing w:after="20"/>
            </w:pPr>
            <w:r>
              <w:rPr>
                <w:sz w:val="17"/>
              </w:rPr>
              <w:t>API Gateway, Express Lambda, streaming Lambda</w:t>
            </w:r>
          </w:p>
        </w:tc>
        <w:tc>
          <w:tcPr>
            <w:tcW w:type="dxa" w:w="3888"/>
            <w:vAlign w:val="center"/>
            <w:shd w:fill="FFFFFF"/>
            <w:tcMar>
              <w:top w:w="100" w:type="dxa"/>
              <w:start w:w="110" w:type="dxa"/>
              <w:bottom w:w="100" w:type="dxa"/>
              <w:end w:w="110" w:type="dxa"/>
            </w:tcMar>
          </w:tcPr>
          <w:p>
            <w:pPr>
              <w:spacing w:after="20"/>
            </w:pPr>
            <w:r>
              <w:rPr>
                <w:sz w:val="17"/>
              </w:rPr>
              <w:t>Serve CRUD APIs and streamed model output</w:t>
            </w:r>
          </w:p>
        </w:tc>
      </w:tr>
      <w:tr>
        <w:tc>
          <w:tcPr>
            <w:tcW w:type="dxa" w:w="1440"/>
            <w:vAlign w:val="center"/>
            <w:shd w:fill="EDF3F8"/>
            <w:tcMar>
              <w:top w:w="100" w:type="dxa"/>
              <w:start w:w="110" w:type="dxa"/>
              <w:bottom w:w="100" w:type="dxa"/>
              <w:end w:w="110" w:type="dxa"/>
            </w:tcMar>
          </w:tcPr>
          <w:p>
            <w:pPr>
              <w:spacing w:after="20"/>
            </w:pPr>
            <w:r>
              <w:rPr>
                <w:sz w:val="17"/>
              </w:rPr>
              <w:t>AI</w:t>
            </w:r>
          </w:p>
        </w:tc>
        <w:tc>
          <w:tcPr>
            <w:tcW w:type="dxa" w:w="3744"/>
            <w:vAlign w:val="center"/>
            <w:shd w:fill="EDF3F8"/>
            <w:tcMar>
              <w:top w:w="100" w:type="dxa"/>
              <w:start w:w="110" w:type="dxa"/>
              <w:bottom w:w="100" w:type="dxa"/>
              <w:end w:w="110" w:type="dxa"/>
            </w:tcMar>
          </w:tcPr>
          <w:p>
            <w:pPr>
              <w:spacing w:after="20"/>
            </w:pPr>
            <w:r>
              <w:rPr>
                <w:sz w:val="17"/>
              </w:rPr>
              <w:t>Bedrock models, Guardrails, Flows, Agents, AgentCore</w:t>
            </w:r>
          </w:p>
        </w:tc>
        <w:tc>
          <w:tcPr>
            <w:tcW w:type="dxa" w:w="3888"/>
            <w:vAlign w:val="center"/>
            <w:shd w:fill="EDF3F8"/>
            <w:tcMar>
              <w:top w:w="100" w:type="dxa"/>
              <w:start w:w="110" w:type="dxa"/>
              <w:bottom w:w="100" w:type="dxa"/>
              <w:end w:w="110" w:type="dxa"/>
            </w:tcMar>
          </w:tcPr>
          <w:p>
            <w:pPr>
              <w:spacing w:after="20"/>
            </w:pPr>
            <w:r>
              <w:rPr>
                <w:sz w:val="17"/>
              </w:rPr>
              <w:t>Generate responses and execute approved AI workflows</w:t>
            </w:r>
          </w:p>
        </w:tc>
      </w:tr>
      <w:tr>
        <w:tc>
          <w:tcPr>
            <w:tcW w:type="dxa" w:w="1440"/>
            <w:vAlign w:val="center"/>
            <w:shd w:fill="FFFFFF"/>
            <w:tcMar>
              <w:top w:w="100" w:type="dxa"/>
              <w:start w:w="110" w:type="dxa"/>
              <w:bottom w:w="100" w:type="dxa"/>
              <w:end w:w="110" w:type="dxa"/>
            </w:tcMar>
          </w:tcPr>
          <w:p>
            <w:pPr>
              <w:spacing w:after="20"/>
            </w:pPr>
            <w:r>
              <w:rPr>
                <w:sz w:val="17"/>
              </w:rPr>
              <w:t>RAG</w:t>
            </w:r>
          </w:p>
        </w:tc>
        <w:tc>
          <w:tcPr>
            <w:tcW w:type="dxa" w:w="3744"/>
            <w:vAlign w:val="center"/>
            <w:shd w:fill="FFFFFF"/>
            <w:tcMar>
              <w:top w:w="100" w:type="dxa"/>
              <w:start w:w="110" w:type="dxa"/>
              <w:bottom w:w="100" w:type="dxa"/>
              <w:end w:w="110" w:type="dxa"/>
            </w:tcMar>
          </w:tcPr>
          <w:p>
            <w:pPr>
              <w:spacing w:after="20"/>
            </w:pPr>
            <w:r>
              <w:rPr>
                <w:sz w:val="17"/>
              </w:rPr>
              <w:t>Knowledge Bases, Kendra, OpenSearch Serverless, S3 Vectors</w:t>
            </w:r>
          </w:p>
        </w:tc>
        <w:tc>
          <w:tcPr>
            <w:tcW w:type="dxa" w:w="3888"/>
            <w:vAlign w:val="center"/>
            <w:shd w:fill="FFFFFF"/>
            <w:tcMar>
              <w:top w:w="100" w:type="dxa"/>
              <w:start w:w="110" w:type="dxa"/>
              <w:bottom w:w="100" w:type="dxa"/>
              <w:end w:w="110" w:type="dxa"/>
            </w:tcMar>
          </w:tcPr>
          <w:p>
            <w:pPr>
              <w:spacing w:after="20"/>
            </w:pPr>
            <w:r>
              <w:rPr>
                <w:sz w:val="17"/>
              </w:rPr>
              <w:t>Retrieve organizational knowledge</w:t>
            </w:r>
          </w:p>
        </w:tc>
      </w:tr>
      <w:tr>
        <w:tc>
          <w:tcPr>
            <w:tcW w:type="dxa" w:w="1440"/>
            <w:vAlign w:val="center"/>
            <w:shd w:fill="EDF3F8"/>
            <w:tcMar>
              <w:top w:w="100" w:type="dxa"/>
              <w:start w:w="110" w:type="dxa"/>
              <w:bottom w:w="100" w:type="dxa"/>
              <w:end w:w="110" w:type="dxa"/>
            </w:tcMar>
          </w:tcPr>
          <w:p>
            <w:pPr>
              <w:spacing w:after="20"/>
            </w:pPr>
            <w:r>
              <w:rPr>
                <w:sz w:val="17"/>
              </w:rPr>
              <w:t>Data</w:t>
            </w:r>
          </w:p>
        </w:tc>
        <w:tc>
          <w:tcPr>
            <w:tcW w:type="dxa" w:w="3744"/>
            <w:vAlign w:val="center"/>
            <w:shd w:fill="EDF3F8"/>
            <w:tcMar>
              <w:top w:w="100" w:type="dxa"/>
              <w:start w:w="110" w:type="dxa"/>
              <w:bottom w:w="100" w:type="dxa"/>
              <w:end w:w="110" w:type="dxa"/>
            </w:tcMar>
          </w:tcPr>
          <w:p>
            <w:pPr>
              <w:spacing w:after="20"/>
            </w:pPr>
            <w:r>
              <w:rPr>
                <w:sz w:val="17"/>
              </w:rPr>
              <w:t>DynamoDB and multiple private S3 buckets</w:t>
            </w:r>
          </w:p>
        </w:tc>
        <w:tc>
          <w:tcPr>
            <w:tcW w:type="dxa" w:w="3888"/>
            <w:vAlign w:val="center"/>
            <w:shd w:fill="EDF3F8"/>
            <w:tcMar>
              <w:top w:w="100" w:type="dxa"/>
              <w:start w:w="110" w:type="dxa"/>
              <w:bottom w:w="100" w:type="dxa"/>
              <w:end w:w="110" w:type="dxa"/>
            </w:tcMar>
          </w:tcPr>
          <w:p>
            <w:pPr>
              <w:spacing w:after="20"/>
            </w:pPr>
            <w:r>
              <w:rPr>
                <w:sz w:val="17"/>
              </w:rPr>
              <w:t>Persist chats, statistics, files, media and source documents</w:t>
            </w:r>
          </w:p>
        </w:tc>
      </w:tr>
      <w:tr>
        <w:tc>
          <w:tcPr>
            <w:tcW w:type="dxa" w:w="1440"/>
            <w:vAlign w:val="center"/>
            <w:shd w:fill="FFFFFF"/>
            <w:tcMar>
              <w:top w:w="100" w:type="dxa"/>
              <w:start w:w="110" w:type="dxa"/>
              <w:bottom w:w="100" w:type="dxa"/>
              <w:end w:w="110" w:type="dxa"/>
            </w:tcMar>
          </w:tcPr>
          <w:p>
            <w:pPr>
              <w:spacing w:after="20"/>
            </w:pPr>
            <w:r>
              <w:rPr>
                <w:sz w:val="17"/>
              </w:rPr>
              <w:t>Operations</w:t>
            </w:r>
          </w:p>
        </w:tc>
        <w:tc>
          <w:tcPr>
            <w:tcW w:type="dxa" w:w="3744"/>
            <w:vAlign w:val="center"/>
            <w:shd w:fill="FFFFFF"/>
            <w:tcMar>
              <w:top w:w="100" w:type="dxa"/>
              <w:start w:w="110" w:type="dxa"/>
              <w:bottom w:w="100" w:type="dxa"/>
              <w:end w:w="110" w:type="dxa"/>
            </w:tcMar>
          </w:tcPr>
          <w:p>
            <w:pPr>
              <w:spacing w:after="20"/>
            </w:pPr>
            <w:r>
              <w:rPr>
                <w:sz w:val="17"/>
              </w:rPr>
              <w:t>CDK, CloudWatch and tags</w:t>
            </w:r>
          </w:p>
        </w:tc>
        <w:tc>
          <w:tcPr>
            <w:tcW w:type="dxa" w:w="3888"/>
            <w:vAlign w:val="center"/>
            <w:shd w:fill="FFFFFF"/>
            <w:tcMar>
              <w:top w:w="100" w:type="dxa"/>
              <w:start w:w="110" w:type="dxa"/>
              <w:bottom w:w="100" w:type="dxa"/>
              <w:end w:w="110" w:type="dxa"/>
            </w:tcMar>
          </w:tcPr>
          <w:p>
            <w:pPr>
              <w:spacing w:after="20"/>
            </w:pPr>
            <w:r>
              <w:rPr>
                <w:sz w:val="17"/>
              </w:rPr>
              <w:t>Deploy, observe and allocate cost</w:t>
            </w:r>
          </w:p>
        </w:tc>
      </w:tr>
    </w:tbl>
    <w:p>
      <w:pPr>
        <w:spacing w:after="20"/>
      </w:pPr>
    </w:p>
    <w:p>
      <w:pPr>
        <w:pStyle w:val="Heading2"/>
      </w:pPr>
      <w:r>
        <w:t>1.3 Architectural implications</w:t>
      </w:r>
    </w:p>
    <w:p>
      <w:r>
        <w:t>GenU has two trust paths. REST requests are protected by the API Gateway Cognito authorizer, while direct streaming and selected real-time functions use temporary IAM credentials. A secure review must therefore cover both JWT authorization and the authenticated Identity Pool role. The optional nature of RAG, agents, MCP, media and closed-network stacks also means there is no single GenU risk profile; the deployed configuration defines the actual attack surface and cost model.</w:t>
      </w:r>
    </w:p>
    <w:p>
      <w:pPr>
        <w:pStyle w:val="Heading1"/>
      </w:pPr>
      <w:r>
        <w:t>2 Business problem and desired outcomes</w:t>
      </w:r>
    </w:p>
    <w:p>
      <w:pPr>
        <w:pStyle w:val="Heading2"/>
      </w:pPr>
      <w:r>
        <w:t>2.1 Problem statement</w:t>
      </w:r>
    </w:p>
    <w:p>
      <w:r>
        <w:t>Organizations need a controlled way to experiment with and deploy generative AI. Separate applications create duplicated infrastructure, uneven security, inconsistent prompt handling, fragmented cost reporting and unclear ownership. A shared platform can reduce this duplication, but it also concentrates access to models, documents and tools. The design must therefore optimize for governed reuse rather than unrestricted feature availability.</w:t>
      </w:r>
    </w:p>
    <w:p>
      <w:pPr>
        <w:pStyle w:val="Heading2"/>
      </w:pPr>
      <w:r>
        <w:t>2.2 Stakeholders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17365D"/>
            <w:vAlign w:val="center"/>
            <w:tcMar>
              <w:top w:w="100" w:type="dxa"/>
              <w:start w:w="110" w:type="dxa"/>
              <w:bottom w:w="100" w:type="dxa"/>
              <w:end w:w="110" w:type="dxa"/>
            </w:tcMar>
          </w:tcPr>
          <w:p>
            <w:r>
              <w:rPr>
                <w:b/>
                <w:color w:val="FFFFFF"/>
                <w:sz w:val="18"/>
              </w:rPr>
              <w:t>Stakeholder</w:t>
            </w:r>
          </w:p>
        </w:tc>
        <w:tc>
          <w:tcPr>
            <w:tcW w:type="dxa" w:w="3240"/>
            <w:shd w:fill="17365D"/>
            <w:vAlign w:val="center"/>
            <w:tcMar>
              <w:top w:w="100" w:type="dxa"/>
              <w:start w:w="110" w:type="dxa"/>
              <w:bottom w:w="100" w:type="dxa"/>
              <w:end w:w="110" w:type="dxa"/>
            </w:tcMar>
          </w:tcPr>
          <w:p>
            <w:r>
              <w:rPr>
                <w:b/>
                <w:color w:val="FFFFFF"/>
                <w:sz w:val="18"/>
              </w:rPr>
              <w:t>Need</w:t>
            </w:r>
          </w:p>
        </w:tc>
        <w:tc>
          <w:tcPr>
            <w:tcW w:type="dxa" w:w="3888"/>
            <w:shd w:fill="17365D"/>
            <w:vAlign w:val="center"/>
            <w:tcMar>
              <w:top w:w="100" w:type="dxa"/>
              <w:start w:w="110" w:type="dxa"/>
              <w:bottom w:w="100" w:type="dxa"/>
              <w:end w:w="110" w:type="dxa"/>
            </w:tcMar>
          </w:tcPr>
          <w:p>
            <w:r>
              <w:rPr>
                <w:b/>
                <w:color w:val="FFFFFF"/>
                <w:sz w:val="18"/>
              </w:rPr>
              <w:t>Decision or responsibility</w:t>
            </w:r>
          </w:p>
        </w:tc>
      </w:tr>
      <w:tr>
        <w:tc>
          <w:tcPr>
            <w:tcW w:type="dxa" w:w="1944"/>
            <w:vAlign w:val="center"/>
            <w:shd w:fill="FFFFFF"/>
            <w:tcMar>
              <w:top w:w="100" w:type="dxa"/>
              <w:start w:w="110" w:type="dxa"/>
              <w:bottom w:w="100" w:type="dxa"/>
              <w:end w:w="110" w:type="dxa"/>
            </w:tcMar>
          </w:tcPr>
          <w:p>
            <w:pPr>
              <w:spacing w:after="20"/>
            </w:pPr>
            <w:r>
              <w:rPr>
                <w:sz w:val="17"/>
              </w:rPr>
              <w:t>End user</w:t>
            </w:r>
          </w:p>
        </w:tc>
        <w:tc>
          <w:tcPr>
            <w:tcW w:type="dxa" w:w="3240"/>
            <w:vAlign w:val="center"/>
            <w:shd w:fill="FFFFFF"/>
            <w:tcMar>
              <w:top w:w="100" w:type="dxa"/>
              <w:start w:w="110" w:type="dxa"/>
              <w:bottom w:w="100" w:type="dxa"/>
              <w:end w:w="110" w:type="dxa"/>
            </w:tcMar>
          </w:tcPr>
          <w:p>
            <w:pPr>
              <w:spacing w:after="20"/>
            </w:pPr>
            <w:r>
              <w:rPr>
                <w:sz w:val="17"/>
              </w:rPr>
              <w:t>Useful and timely AI assistance</w:t>
            </w:r>
          </w:p>
        </w:tc>
        <w:tc>
          <w:tcPr>
            <w:tcW w:type="dxa" w:w="3888"/>
            <w:vAlign w:val="center"/>
            <w:shd w:fill="FFFFFF"/>
            <w:tcMar>
              <w:top w:w="100" w:type="dxa"/>
              <w:start w:w="110" w:type="dxa"/>
              <w:bottom w:w="100" w:type="dxa"/>
              <w:end w:w="110" w:type="dxa"/>
            </w:tcMar>
          </w:tcPr>
          <w:p>
            <w:pPr>
              <w:spacing w:after="20"/>
            </w:pPr>
            <w:r>
              <w:rPr>
                <w:sz w:val="17"/>
              </w:rPr>
              <w:t>Select an approved use case and verify important output</w:t>
            </w:r>
          </w:p>
        </w:tc>
      </w:tr>
      <w:tr>
        <w:tc>
          <w:tcPr>
            <w:tcW w:type="dxa" w:w="1944"/>
            <w:vAlign w:val="center"/>
            <w:shd w:fill="EDF3F8"/>
            <w:tcMar>
              <w:top w:w="100" w:type="dxa"/>
              <w:start w:w="110" w:type="dxa"/>
              <w:bottom w:w="100" w:type="dxa"/>
              <w:end w:w="110" w:type="dxa"/>
            </w:tcMar>
          </w:tcPr>
          <w:p>
            <w:pPr>
              <w:spacing w:after="20"/>
            </w:pPr>
            <w:r>
              <w:rPr>
                <w:sz w:val="17"/>
              </w:rPr>
              <w:t>Use-case designer</w:t>
            </w:r>
          </w:p>
        </w:tc>
        <w:tc>
          <w:tcPr>
            <w:tcW w:type="dxa" w:w="3240"/>
            <w:vAlign w:val="center"/>
            <w:shd w:fill="EDF3F8"/>
            <w:tcMar>
              <w:top w:w="100" w:type="dxa"/>
              <w:start w:w="110" w:type="dxa"/>
              <w:bottom w:w="100" w:type="dxa"/>
              <w:end w:w="110" w:type="dxa"/>
            </w:tcMar>
          </w:tcPr>
          <w:p>
            <w:pPr>
              <w:spacing w:after="20"/>
            </w:pPr>
            <w:r>
              <w:rPr>
                <w:sz w:val="17"/>
              </w:rPr>
              <w:t>Reusable prompts and interfaces</w:t>
            </w:r>
          </w:p>
        </w:tc>
        <w:tc>
          <w:tcPr>
            <w:tcW w:type="dxa" w:w="3888"/>
            <w:vAlign w:val="center"/>
            <w:shd w:fill="EDF3F8"/>
            <w:tcMar>
              <w:top w:w="100" w:type="dxa"/>
              <w:start w:w="110" w:type="dxa"/>
              <w:bottom w:w="100" w:type="dxa"/>
              <w:end w:w="110" w:type="dxa"/>
            </w:tcMar>
          </w:tcPr>
          <w:p>
            <w:pPr>
              <w:spacing w:after="20"/>
            </w:pPr>
            <w:r>
              <w:rPr>
                <w:sz w:val="17"/>
              </w:rPr>
              <w:t>Define purpose, input, output and evaluation contract</w:t>
            </w:r>
          </w:p>
        </w:tc>
      </w:tr>
      <w:tr>
        <w:tc>
          <w:tcPr>
            <w:tcW w:type="dxa" w:w="1944"/>
            <w:vAlign w:val="center"/>
            <w:shd w:fill="FFFFFF"/>
            <w:tcMar>
              <w:top w:w="100" w:type="dxa"/>
              <w:start w:w="110" w:type="dxa"/>
              <w:bottom w:w="100" w:type="dxa"/>
              <w:end w:w="110" w:type="dxa"/>
            </w:tcMar>
          </w:tcPr>
          <w:p>
            <w:pPr>
              <w:spacing w:after="20"/>
            </w:pPr>
            <w:r>
              <w:rPr>
                <w:sz w:val="17"/>
              </w:rPr>
              <w:t>Knowledge owner</w:t>
            </w:r>
          </w:p>
        </w:tc>
        <w:tc>
          <w:tcPr>
            <w:tcW w:type="dxa" w:w="3240"/>
            <w:vAlign w:val="center"/>
            <w:shd w:fill="FFFFFF"/>
            <w:tcMar>
              <w:top w:w="100" w:type="dxa"/>
              <w:start w:w="110" w:type="dxa"/>
              <w:bottom w:w="100" w:type="dxa"/>
              <w:end w:w="110" w:type="dxa"/>
            </w:tcMar>
          </w:tcPr>
          <w:p>
            <w:pPr>
              <w:spacing w:after="20"/>
            </w:pPr>
            <w:r>
              <w:rPr>
                <w:sz w:val="17"/>
              </w:rPr>
              <w:t>Controlled use of organizational documents</w:t>
            </w:r>
          </w:p>
        </w:tc>
        <w:tc>
          <w:tcPr>
            <w:tcW w:type="dxa" w:w="3888"/>
            <w:vAlign w:val="center"/>
            <w:shd w:fill="FFFFFF"/>
            <w:tcMar>
              <w:top w:w="100" w:type="dxa"/>
              <w:start w:w="110" w:type="dxa"/>
              <w:bottom w:w="100" w:type="dxa"/>
              <w:end w:w="110" w:type="dxa"/>
            </w:tcMar>
          </w:tcPr>
          <w:p>
            <w:pPr>
              <w:spacing w:after="20"/>
            </w:pPr>
            <w:r>
              <w:rPr>
                <w:sz w:val="17"/>
              </w:rPr>
              <w:t>Approve sources, metadata, access scope and retention</w:t>
            </w:r>
          </w:p>
        </w:tc>
      </w:tr>
      <w:tr>
        <w:tc>
          <w:tcPr>
            <w:tcW w:type="dxa" w:w="1944"/>
            <w:vAlign w:val="center"/>
            <w:shd w:fill="EDF3F8"/>
            <w:tcMar>
              <w:top w:w="100" w:type="dxa"/>
              <w:start w:w="110" w:type="dxa"/>
              <w:bottom w:w="100" w:type="dxa"/>
              <w:end w:w="110" w:type="dxa"/>
            </w:tcMar>
          </w:tcPr>
          <w:p>
            <w:pPr>
              <w:spacing w:after="20"/>
            </w:pPr>
            <w:r>
              <w:rPr>
                <w:sz w:val="17"/>
              </w:rPr>
              <w:t>AI engineer</w:t>
            </w:r>
          </w:p>
        </w:tc>
        <w:tc>
          <w:tcPr>
            <w:tcW w:type="dxa" w:w="3240"/>
            <w:vAlign w:val="center"/>
            <w:shd w:fill="EDF3F8"/>
            <w:tcMar>
              <w:top w:w="100" w:type="dxa"/>
              <w:start w:w="110" w:type="dxa"/>
              <w:bottom w:w="100" w:type="dxa"/>
              <w:end w:w="110" w:type="dxa"/>
            </w:tcMar>
          </w:tcPr>
          <w:p>
            <w:pPr>
              <w:spacing w:after="20"/>
            </w:pPr>
            <w:r>
              <w:rPr>
                <w:sz w:val="17"/>
              </w:rPr>
              <w:t>Reliable model and retrieval integration</w:t>
            </w:r>
          </w:p>
        </w:tc>
        <w:tc>
          <w:tcPr>
            <w:tcW w:type="dxa" w:w="3888"/>
            <w:vAlign w:val="center"/>
            <w:shd w:fill="EDF3F8"/>
            <w:tcMar>
              <w:top w:w="100" w:type="dxa"/>
              <w:start w:w="110" w:type="dxa"/>
              <w:bottom w:w="100" w:type="dxa"/>
              <w:end w:w="110" w:type="dxa"/>
            </w:tcMar>
          </w:tcPr>
          <w:p>
            <w:pPr>
              <w:spacing w:after="20"/>
            </w:pPr>
            <w:r>
              <w:rPr>
                <w:sz w:val="17"/>
              </w:rPr>
              <w:t>Implement adapters, evaluation and bounded fallbacks</w:t>
            </w:r>
          </w:p>
        </w:tc>
      </w:tr>
      <w:tr>
        <w:tc>
          <w:tcPr>
            <w:tcW w:type="dxa" w:w="1944"/>
            <w:vAlign w:val="center"/>
            <w:shd w:fill="FFFFFF"/>
            <w:tcMar>
              <w:top w:w="100" w:type="dxa"/>
              <w:start w:w="110" w:type="dxa"/>
              <w:bottom w:w="100" w:type="dxa"/>
              <w:end w:w="110" w:type="dxa"/>
            </w:tcMar>
          </w:tcPr>
          <w:p>
            <w:pPr>
              <w:spacing w:after="20"/>
            </w:pPr>
            <w:r>
              <w:rPr>
                <w:sz w:val="17"/>
              </w:rPr>
              <w:t>Security administrator</w:t>
            </w:r>
          </w:p>
        </w:tc>
        <w:tc>
          <w:tcPr>
            <w:tcW w:type="dxa" w:w="3240"/>
            <w:vAlign w:val="center"/>
            <w:shd w:fill="FFFFFF"/>
            <w:tcMar>
              <w:top w:w="100" w:type="dxa"/>
              <w:start w:w="110" w:type="dxa"/>
              <w:bottom w:w="100" w:type="dxa"/>
              <w:end w:w="110" w:type="dxa"/>
            </w:tcMar>
          </w:tcPr>
          <w:p>
            <w:pPr>
              <w:spacing w:after="20"/>
            </w:pPr>
            <w:r>
              <w:rPr>
                <w:sz w:val="17"/>
              </w:rPr>
              <w:t>Limited access and auditable actions</w:t>
            </w:r>
          </w:p>
        </w:tc>
        <w:tc>
          <w:tcPr>
            <w:tcW w:type="dxa" w:w="3888"/>
            <w:vAlign w:val="center"/>
            <w:shd w:fill="FFFFFF"/>
            <w:tcMar>
              <w:top w:w="100" w:type="dxa"/>
              <w:start w:w="110" w:type="dxa"/>
              <w:bottom w:w="100" w:type="dxa"/>
              <w:end w:w="110" w:type="dxa"/>
            </w:tcMar>
          </w:tcPr>
          <w:p>
            <w:pPr>
              <w:spacing w:after="20"/>
            </w:pPr>
            <w:r>
              <w:rPr>
                <w:sz w:val="17"/>
              </w:rPr>
              <w:t>Approve roles, tools, networks and logging policy</w:t>
            </w:r>
          </w:p>
        </w:tc>
      </w:tr>
      <w:tr>
        <w:tc>
          <w:tcPr>
            <w:tcW w:type="dxa" w:w="1944"/>
            <w:vAlign w:val="center"/>
            <w:shd w:fill="EDF3F8"/>
            <w:tcMar>
              <w:top w:w="100" w:type="dxa"/>
              <w:start w:w="110" w:type="dxa"/>
              <w:bottom w:w="100" w:type="dxa"/>
              <w:end w:w="110" w:type="dxa"/>
            </w:tcMar>
          </w:tcPr>
          <w:p>
            <w:pPr>
              <w:spacing w:after="20"/>
            </w:pPr>
            <w:r>
              <w:rPr>
                <w:sz w:val="17"/>
              </w:rPr>
              <w:t>Operations engineer</w:t>
            </w:r>
          </w:p>
        </w:tc>
        <w:tc>
          <w:tcPr>
            <w:tcW w:type="dxa" w:w="3240"/>
            <w:vAlign w:val="center"/>
            <w:shd w:fill="EDF3F8"/>
            <w:tcMar>
              <w:top w:w="100" w:type="dxa"/>
              <w:start w:w="110" w:type="dxa"/>
              <w:bottom w:w="100" w:type="dxa"/>
              <w:end w:w="110" w:type="dxa"/>
            </w:tcMar>
          </w:tcPr>
          <w:p>
            <w:pPr>
              <w:spacing w:after="20"/>
            </w:pPr>
            <w:r>
              <w:rPr>
                <w:sz w:val="17"/>
              </w:rPr>
              <w:t>Observable and recoverable service</w:t>
            </w:r>
          </w:p>
        </w:tc>
        <w:tc>
          <w:tcPr>
            <w:tcW w:type="dxa" w:w="3888"/>
            <w:vAlign w:val="center"/>
            <w:shd w:fill="EDF3F8"/>
            <w:tcMar>
              <w:top w:w="100" w:type="dxa"/>
              <w:start w:w="110" w:type="dxa"/>
              <w:bottom w:w="100" w:type="dxa"/>
              <w:end w:w="110" w:type="dxa"/>
            </w:tcMar>
          </w:tcPr>
          <w:p>
            <w:pPr>
              <w:spacing w:after="20"/>
            </w:pPr>
            <w:r>
              <w:rPr>
                <w:sz w:val="17"/>
              </w:rPr>
              <w:t>Own alarms, runbooks, quotas and recovery exercises</w:t>
            </w:r>
          </w:p>
        </w:tc>
      </w:tr>
      <w:tr>
        <w:tc>
          <w:tcPr>
            <w:tcW w:type="dxa" w:w="1944"/>
            <w:vAlign w:val="center"/>
            <w:shd w:fill="FFFFFF"/>
            <w:tcMar>
              <w:top w:w="100" w:type="dxa"/>
              <w:start w:w="110" w:type="dxa"/>
              <w:bottom w:w="100" w:type="dxa"/>
              <w:end w:w="110" w:type="dxa"/>
            </w:tcMar>
          </w:tcPr>
          <w:p>
            <w:pPr>
              <w:spacing w:after="20"/>
            </w:pPr>
            <w:r>
              <w:rPr>
                <w:sz w:val="17"/>
              </w:rPr>
              <w:t>Governance reviewer</w:t>
            </w:r>
          </w:p>
        </w:tc>
        <w:tc>
          <w:tcPr>
            <w:tcW w:type="dxa" w:w="3240"/>
            <w:vAlign w:val="center"/>
            <w:shd w:fill="FFFFFF"/>
            <w:tcMar>
              <w:top w:w="100" w:type="dxa"/>
              <w:start w:w="110" w:type="dxa"/>
              <w:bottom w:w="100" w:type="dxa"/>
              <w:end w:w="110" w:type="dxa"/>
            </w:tcMar>
          </w:tcPr>
          <w:p>
            <w:pPr>
              <w:spacing w:after="20"/>
            </w:pPr>
            <w:r>
              <w:rPr>
                <w:sz w:val="17"/>
              </w:rPr>
              <w:t>Traceable AI behavior</w:t>
            </w:r>
          </w:p>
        </w:tc>
        <w:tc>
          <w:tcPr>
            <w:tcW w:type="dxa" w:w="3888"/>
            <w:vAlign w:val="center"/>
            <w:shd w:fill="FFFFFF"/>
            <w:tcMar>
              <w:top w:w="100" w:type="dxa"/>
              <w:start w:w="110" w:type="dxa"/>
              <w:bottom w:w="100" w:type="dxa"/>
              <w:end w:w="110" w:type="dxa"/>
            </w:tcMar>
          </w:tcPr>
          <w:p>
            <w:pPr>
              <w:spacing w:after="20"/>
            </w:pPr>
            <w:r>
              <w:rPr>
                <w:sz w:val="17"/>
              </w:rPr>
              <w:t>Review evidence before release and after material changes</w:t>
            </w:r>
          </w:p>
        </w:tc>
      </w:tr>
    </w:tbl>
    <w:p>
      <w:pPr>
        <w:spacing w:after="20"/>
      </w:pPr>
    </w:p>
    <w:p>
      <w:pPr>
        <w:pStyle w:val="Heading2"/>
      </w:pPr>
      <w:r>
        <w:t>2.3 Business requirements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936"/>
            <w:shd w:fill="17365D"/>
            <w:vAlign w:val="center"/>
            <w:tcMar>
              <w:top w:w="100" w:type="dxa"/>
              <w:start w:w="110" w:type="dxa"/>
              <w:bottom w:w="100" w:type="dxa"/>
              <w:end w:w="110" w:type="dxa"/>
            </w:tcMar>
          </w:tcPr>
          <w:p>
            <w:r>
              <w:rPr>
                <w:b/>
                <w:color w:val="FFFFFF"/>
                <w:sz w:val="18"/>
              </w:rPr>
              <w:t>ID</w:t>
            </w:r>
          </w:p>
        </w:tc>
        <w:tc>
          <w:tcPr>
            <w:tcW w:type="dxa" w:w="5112"/>
            <w:shd w:fill="17365D"/>
            <w:vAlign w:val="center"/>
            <w:tcMar>
              <w:top w:w="100" w:type="dxa"/>
              <w:start w:w="110" w:type="dxa"/>
              <w:bottom w:w="100" w:type="dxa"/>
              <w:end w:w="110" w:type="dxa"/>
            </w:tcMar>
          </w:tcPr>
          <w:p>
            <w:r>
              <w:rPr>
                <w:b/>
                <w:color w:val="FFFFFF"/>
                <w:sz w:val="18"/>
              </w:rPr>
              <w:t>Requirement</w:t>
            </w:r>
          </w:p>
        </w:tc>
        <w:tc>
          <w:tcPr>
            <w:tcW w:type="dxa" w:w="3024"/>
            <w:shd w:fill="17365D"/>
            <w:vAlign w:val="center"/>
            <w:tcMar>
              <w:top w:w="100" w:type="dxa"/>
              <w:start w:w="110" w:type="dxa"/>
              <w:bottom w:w="100" w:type="dxa"/>
              <w:end w:w="110" w:type="dxa"/>
            </w:tcMar>
          </w:tcPr>
          <w:p>
            <w:r>
              <w:rPr>
                <w:b/>
                <w:color w:val="FFFFFF"/>
                <w:sz w:val="18"/>
              </w:rPr>
              <w:t>Acceptance evidence</w:t>
            </w:r>
          </w:p>
        </w:tc>
      </w:tr>
      <w:tr>
        <w:tc>
          <w:tcPr>
            <w:tcW w:type="dxa" w:w="936"/>
            <w:vAlign w:val="center"/>
            <w:shd w:fill="FFFFFF"/>
            <w:tcMar>
              <w:top w:w="100" w:type="dxa"/>
              <w:start w:w="110" w:type="dxa"/>
              <w:bottom w:w="100" w:type="dxa"/>
              <w:end w:w="110" w:type="dxa"/>
            </w:tcMar>
          </w:tcPr>
          <w:p>
            <w:pPr>
              <w:spacing w:after="20"/>
            </w:pPr>
            <w:r>
              <w:rPr>
                <w:sz w:val="17"/>
              </w:rPr>
              <w:t>BR 01</w:t>
            </w:r>
          </w:p>
        </w:tc>
        <w:tc>
          <w:tcPr>
            <w:tcW w:type="dxa" w:w="5112"/>
            <w:vAlign w:val="center"/>
            <w:shd w:fill="FFFFFF"/>
            <w:tcMar>
              <w:top w:w="100" w:type="dxa"/>
              <w:start w:w="110" w:type="dxa"/>
              <w:bottom w:w="100" w:type="dxa"/>
              <w:end w:w="110" w:type="dxa"/>
            </w:tcMar>
          </w:tcPr>
          <w:p>
            <w:pPr>
              <w:spacing w:after="20"/>
            </w:pPr>
            <w:r>
              <w:rPr>
                <w:sz w:val="17"/>
              </w:rPr>
              <w:t>Provide one authenticated interface for approved generative AI use cases.</w:t>
            </w:r>
          </w:p>
        </w:tc>
        <w:tc>
          <w:tcPr>
            <w:tcW w:type="dxa" w:w="3024"/>
            <w:vAlign w:val="center"/>
            <w:shd w:fill="FFFFFF"/>
            <w:tcMar>
              <w:top w:w="100" w:type="dxa"/>
              <w:start w:w="110" w:type="dxa"/>
              <w:bottom w:w="100" w:type="dxa"/>
              <w:end w:w="110" w:type="dxa"/>
            </w:tcMar>
          </w:tcPr>
          <w:p>
            <w:pPr>
              <w:spacing w:after="20"/>
            </w:pPr>
            <w:r>
              <w:rPr>
                <w:sz w:val="17"/>
              </w:rPr>
              <w:t>Only enabled use cases appear and protected operations reject unauthenticated access.</w:t>
            </w:r>
          </w:p>
        </w:tc>
      </w:tr>
      <w:tr>
        <w:tc>
          <w:tcPr>
            <w:tcW w:type="dxa" w:w="936"/>
            <w:vAlign w:val="center"/>
            <w:shd w:fill="EDF3F8"/>
            <w:tcMar>
              <w:top w:w="100" w:type="dxa"/>
              <w:start w:w="110" w:type="dxa"/>
              <w:bottom w:w="100" w:type="dxa"/>
              <w:end w:w="110" w:type="dxa"/>
            </w:tcMar>
          </w:tcPr>
          <w:p>
            <w:pPr>
              <w:spacing w:after="20"/>
            </w:pPr>
            <w:r>
              <w:rPr>
                <w:sz w:val="17"/>
              </w:rPr>
              <w:t>BR 02</w:t>
            </w:r>
          </w:p>
        </w:tc>
        <w:tc>
          <w:tcPr>
            <w:tcW w:type="dxa" w:w="5112"/>
            <w:vAlign w:val="center"/>
            <w:shd w:fill="EDF3F8"/>
            <w:tcMar>
              <w:top w:w="100" w:type="dxa"/>
              <w:start w:w="110" w:type="dxa"/>
              <w:bottom w:w="100" w:type="dxa"/>
              <w:end w:w="110" w:type="dxa"/>
            </w:tcMar>
          </w:tcPr>
          <w:p>
            <w:pPr>
              <w:spacing w:after="20"/>
            </w:pPr>
            <w:r>
              <w:rPr>
                <w:sz w:val="17"/>
              </w:rPr>
              <w:t>Support approved models without binding the platform to one model version.</w:t>
            </w:r>
          </w:p>
        </w:tc>
        <w:tc>
          <w:tcPr>
            <w:tcW w:type="dxa" w:w="3024"/>
            <w:vAlign w:val="center"/>
            <w:shd w:fill="EDF3F8"/>
            <w:tcMar>
              <w:top w:w="100" w:type="dxa"/>
              <w:start w:w="110" w:type="dxa"/>
              <w:bottom w:w="100" w:type="dxa"/>
              <w:end w:w="110" w:type="dxa"/>
            </w:tcMar>
          </w:tcPr>
          <w:p>
            <w:pPr>
              <w:spacing w:after="20"/>
            </w:pPr>
            <w:r>
              <w:rPr>
                <w:sz w:val="17"/>
              </w:rPr>
              <w:t>Deployment rejects unsupported models and records model identity per request.</w:t>
            </w:r>
          </w:p>
        </w:tc>
      </w:tr>
      <w:tr>
        <w:tc>
          <w:tcPr>
            <w:tcW w:type="dxa" w:w="936"/>
            <w:vAlign w:val="center"/>
            <w:shd w:fill="FFFFFF"/>
            <w:tcMar>
              <w:top w:w="100" w:type="dxa"/>
              <w:start w:w="110" w:type="dxa"/>
              <w:bottom w:w="100" w:type="dxa"/>
              <w:end w:w="110" w:type="dxa"/>
            </w:tcMar>
          </w:tcPr>
          <w:p>
            <w:pPr>
              <w:spacing w:after="20"/>
            </w:pPr>
            <w:r>
              <w:rPr>
                <w:sz w:val="17"/>
              </w:rPr>
              <w:t>BR 03</w:t>
            </w:r>
          </w:p>
        </w:tc>
        <w:tc>
          <w:tcPr>
            <w:tcW w:type="dxa" w:w="5112"/>
            <w:vAlign w:val="center"/>
            <w:shd w:fill="FFFFFF"/>
            <w:tcMar>
              <w:top w:w="100" w:type="dxa"/>
              <w:start w:w="110" w:type="dxa"/>
              <w:bottom w:w="100" w:type="dxa"/>
              <w:end w:w="110" w:type="dxa"/>
            </w:tcMar>
          </w:tcPr>
          <w:p>
            <w:pPr>
              <w:spacing w:after="20"/>
            </w:pPr>
            <w:r>
              <w:rPr>
                <w:sz w:val="17"/>
              </w:rPr>
              <w:t>Ground domain answers in authorized organizational knowledge.</w:t>
            </w:r>
          </w:p>
        </w:tc>
        <w:tc>
          <w:tcPr>
            <w:tcW w:type="dxa" w:w="3024"/>
            <w:vAlign w:val="center"/>
            <w:shd w:fill="FFFFFF"/>
            <w:tcMar>
              <w:top w:w="100" w:type="dxa"/>
              <w:start w:w="110" w:type="dxa"/>
              <w:bottom w:w="100" w:type="dxa"/>
              <w:end w:w="110" w:type="dxa"/>
            </w:tcMar>
          </w:tcPr>
          <w:p>
            <w:pPr>
              <w:spacing w:after="20"/>
            </w:pPr>
            <w:r>
              <w:rPr>
                <w:sz w:val="17"/>
              </w:rPr>
              <w:t>Citations map to retrieved passages and access isolation tests pass.</w:t>
            </w:r>
          </w:p>
        </w:tc>
      </w:tr>
      <w:tr>
        <w:tc>
          <w:tcPr>
            <w:tcW w:type="dxa" w:w="936"/>
            <w:vAlign w:val="center"/>
            <w:shd w:fill="EDF3F8"/>
            <w:tcMar>
              <w:top w:w="100" w:type="dxa"/>
              <w:start w:w="110" w:type="dxa"/>
              <w:bottom w:w="100" w:type="dxa"/>
              <w:end w:w="110" w:type="dxa"/>
            </w:tcMar>
          </w:tcPr>
          <w:p>
            <w:pPr>
              <w:spacing w:after="20"/>
            </w:pPr>
            <w:r>
              <w:rPr>
                <w:sz w:val="17"/>
              </w:rPr>
              <w:t>BR 04</w:t>
            </w:r>
          </w:p>
        </w:tc>
        <w:tc>
          <w:tcPr>
            <w:tcW w:type="dxa" w:w="5112"/>
            <w:vAlign w:val="center"/>
            <w:shd w:fill="EDF3F8"/>
            <w:tcMar>
              <w:top w:w="100" w:type="dxa"/>
              <w:start w:w="110" w:type="dxa"/>
              <w:bottom w:w="100" w:type="dxa"/>
              <w:end w:w="110" w:type="dxa"/>
            </w:tcMar>
          </w:tcPr>
          <w:p>
            <w:pPr>
              <w:spacing w:after="20"/>
            </w:pPr>
            <w:r>
              <w:rPr>
                <w:sz w:val="17"/>
              </w:rPr>
              <w:t>Allow authorized designers to create versioned reusable use cases.</w:t>
            </w:r>
          </w:p>
        </w:tc>
        <w:tc>
          <w:tcPr>
            <w:tcW w:type="dxa" w:w="3024"/>
            <w:vAlign w:val="center"/>
            <w:shd w:fill="EDF3F8"/>
            <w:tcMar>
              <w:top w:w="100" w:type="dxa"/>
              <w:start w:w="110" w:type="dxa"/>
              <w:bottom w:w="100" w:type="dxa"/>
              <w:end w:w="110" w:type="dxa"/>
            </w:tcMar>
          </w:tcPr>
          <w:p>
            <w:pPr>
              <w:spacing w:after="20"/>
            </w:pPr>
            <w:r>
              <w:rPr>
                <w:sz w:val="17"/>
              </w:rPr>
              <w:t>Ownership, sharing scope, version and approval state are stored.</w:t>
            </w:r>
          </w:p>
        </w:tc>
      </w:tr>
      <w:tr>
        <w:tc>
          <w:tcPr>
            <w:tcW w:type="dxa" w:w="936"/>
            <w:vAlign w:val="center"/>
            <w:shd w:fill="FFFFFF"/>
            <w:tcMar>
              <w:top w:w="100" w:type="dxa"/>
              <w:start w:w="110" w:type="dxa"/>
              <w:bottom w:w="100" w:type="dxa"/>
              <w:end w:w="110" w:type="dxa"/>
            </w:tcMar>
          </w:tcPr>
          <w:p>
            <w:pPr>
              <w:spacing w:after="20"/>
            </w:pPr>
            <w:r>
              <w:rPr>
                <w:sz w:val="17"/>
              </w:rPr>
              <w:t>BR 05</w:t>
            </w:r>
          </w:p>
        </w:tc>
        <w:tc>
          <w:tcPr>
            <w:tcW w:type="dxa" w:w="5112"/>
            <w:vAlign w:val="center"/>
            <w:shd w:fill="FFFFFF"/>
            <w:tcMar>
              <w:top w:w="100" w:type="dxa"/>
              <w:start w:w="110" w:type="dxa"/>
              <w:bottom w:w="100" w:type="dxa"/>
              <w:end w:w="110" w:type="dxa"/>
            </w:tcMar>
          </w:tcPr>
          <w:p>
            <w:pPr>
              <w:spacing w:after="20"/>
            </w:pPr>
            <w:r>
              <w:rPr>
                <w:sz w:val="17"/>
              </w:rPr>
              <w:t>Permit agents to use tools only within the user and use-case authority.</w:t>
            </w:r>
          </w:p>
        </w:tc>
        <w:tc>
          <w:tcPr>
            <w:tcW w:type="dxa" w:w="3024"/>
            <w:vAlign w:val="center"/>
            <w:shd w:fill="FFFFFF"/>
            <w:tcMar>
              <w:top w:w="100" w:type="dxa"/>
              <w:start w:w="110" w:type="dxa"/>
              <w:bottom w:w="100" w:type="dxa"/>
              <w:end w:w="110" w:type="dxa"/>
            </w:tcMar>
          </w:tcPr>
          <w:p>
            <w:pPr>
              <w:spacing w:after="20"/>
            </w:pPr>
            <w:r>
              <w:rPr>
                <w:sz w:val="17"/>
              </w:rPr>
              <w:t>Denied actions never invoke tools and every attempt is audited.</w:t>
            </w:r>
          </w:p>
        </w:tc>
      </w:tr>
      <w:tr>
        <w:tc>
          <w:tcPr>
            <w:tcW w:type="dxa" w:w="936"/>
            <w:vAlign w:val="center"/>
            <w:shd w:fill="EDF3F8"/>
            <w:tcMar>
              <w:top w:w="100" w:type="dxa"/>
              <w:start w:w="110" w:type="dxa"/>
              <w:bottom w:w="100" w:type="dxa"/>
              <w:end w:w="110" w:type="dxa"/>
            </w:tcMar>
          </w:tcPr>
          <w:p>
            <w:pPr>
              <w:spacing w:after="20"/>
            </w:pPr>
            <w:r>
              <w:rPr>
                <w:sz w:val="17"/>
              </w:rPr>
              <w:t>BR 06</w:t>
            </w:r>
          </w:p>
        </w:tc>
        <w:tc>
          <w:tcPr>
            <w:tcW w:type="dxa" w:w="5112"/>
            <w:vAlign w:val="center"/>
            <w:shd w:fill="EDF3F8"/>
            <w:tcMar>
              <w:top w:w="100" w:type="dxa"/>
              <w:start w:w="110" w:type="dxa"/>
              <w:bottom w:w="100" w:type="dxa"/>
              <w:end w:w="110" w:type="dxa"/>
            </w:tcMar>
          </w:tcPr>
          <w:p>
            <w:pPr>
              <w:spacing w:after="20"/>
            </w:pPr>
            <w:r>
              <w:rPr>
                <w:sz w:val="17"/>
              </w:rPr>
              <w:t>Protect prompts, files, conversations and knowledge sources.</w:t>
            </w:r>
          </w:p>
        </w:tc>
        <w:tc>
          <w:tcPr>
            <w:tcW w:type="dxa" w:w="3024"/>
            <w:vAlign w:val="center"/>
            <w:shd w:fill="EDF3F8"/>
            <w:tcMar>
              <w:top w:w="100" w:type="dxa"/>
              <w:start w:w="110" w:type="dxa"/>
              <w:bottom w:w="100" w:type="dxa"/>
              <w:end w:w="110" w:type="dxa"/>
            </w:tcMar>
          </w:tcPr>
          <w:p>
            <w:pPr>
              <w:spacing w:after="20"/>
            </w:pPr>
            <w:r>
              <w:rPr>
                <w:sz w:val="17"/>
              </w:rPr>
              <w:t>Encryption, masking, retention and deletion tests pass.</w:t>
            </w:r>
          </w:p>
        </w:tc>
      </w:tr>
      <w:tr>
        <w:tc>
          <w:tcPr>
            <w:tcW w:type="dxa" w:w="936"/>
            <w:vAlign w:val="center"/>
            <w:shd w:fill="FFFFFF"/>
            <w:tcMar>
              <w:top w:w="100" w:type="dxa"/>
              <w:start w:w="110" w:type="dxa"/>
              <w:bottom w:w="100" w:type="dxa"/>
              <w:end w:w="110" w:type="dxa"/>
            </w:tcMar>
          </w:tcPr>
          <w:p>
            <w:pPr>
              <w:spacing w:after="20"/>
            </w:pPr>
            <w:r>
              <w:rPr>
                <w:sz w:val="17"/>
              </w:rPr>
              <w:t>BR 07</w:t>
            </w:r>
          </w:p>
        </w:tc>
        <w:tc>
          <w:tcPr>
            <w:tcW w:type="dxa" w:w="5112"/>
            <w:vAlign w:val="center"/>
            <w:shd w:fill="FFFFFF"/>
            <w:tcMar>
              <w:top w:w="100" w:type="dxa"/>
              <w:start w:w="110" w:type="dxa"/>
              <w:bottom w:w="100" w:type="dxa"/>
              <w:end w:w="110" w:type="dxa"/>
            </w:tcMar>
          </w:tcPr>
          <w:p>
            <w:pPr>
              <w:spacing w:after="20"/>
            </w:pPr>
            <w:r>
              <w:rPr>
                <w:sz w:val="17"/>
              </w:rPr>
              <w:t>Attribute and control model consumption.</w:t>
            </w:r>
          </w:p>
        </w:tc>
        <w:tc>
          <w:tcPr>
            <w:tcW w:type="dxa" w:w="3024"/>
            <w:vAlign w:val="center"/>
            <w:shd w:fill="FFFFFF"/>
            <w:tcMar>
              <w:top w:w="100" w:type="dxa"/>
              <w:start w:w="110" w:type="dxa"/>
              <w:bottom w:w="100" w:type="dxa"/>
              <w:end w:w="110" w:type="dxa"/>
            </w:tcMar>
          </w:tcPr>
          <w:p>
            <w:pPr>
              <w:spacing w:after="20"/>
            </w:pPr>
            <w:r>
              <w:rPr>
                <w:sz w:val="17"/>
              </w:rPr>
              <w:t>Usage is reported by user, model and use case; budget alarms are tested.</w:t>
            </w:r>
          </w:p>
        </w:tc>
      </w:tr>
      <w:tr>
        <w:tc>
          <w:tcPr>
            <w:tcW w:type="dxa" w:w="936"/>
            <w:vAlign w:val="center"/>
            <w:shd w:fill="EDF3F8"/>
            <w:tcMar>
              <w:top w:w="100" w:type="dxa"/>
              <w:start w:w="110" w:type="dxa"/>
              <w:bottom w:w="100" w:type="dxa"/>
              <w:end w:w="110" w:type="dxa"/>
            </w:tcMar>
          </w:tcPr>
          <w:p>
            <w:pPr>
              <w:spacing w:after="20"/>
            </w:pPr>
            <w:r>
              <w:rPr>
                <w:sz w:val="17"/>
              </w:rPr>
              <w:t>BR 08</w:t>
            </w:r>
          </w:p>
        </w:tc>
        <w:tc>
          <w:tcPr>
            <w:tcW w:type="dxa" w:w="5112"/>
            <w:vAlign w:val="center"/>
            <w:shd w:fill="EDF3F8"/>
            <w:tcMar>
              <w:top w:w="100" w:type="dxa"/>
              <w:start w:w="110" w:type="dxa"/>
              <w:bottom w:w="100" w:type="dxa"/>
              <w:end w:w="110" w:type="dxa"/>
            </w:tcMar>
          </w:tcPr>
          <w:p>
            <w:pPr>
              <w:spacing w:after="20"/>
            </w:pPr>
            <w:r>
              <w:rPr>
                <w:sz w:val="17"/>
              </w:rPr>
              <w:t>Recover critical configuration and data.</w:t>
            </w:r>
          </w:p>
        </w:tc>
        <w:tc>
          <w:tcPr>
            <w:tcW w:type="dxa" w:w="3024"/>
            <w:vAlign w:val="center"/>
            <w:shd w:fill="EDF3F8"/>
            <w:tcMar>
              <w:top w:w="100" w:type="dxa"/>
              <w:start w:w="110" w:type="dxa"/>
              <w:bottom w:w="100" w:type="dxa"/>
              <w:end w:w="110" w:type="dxa"/>
            </w:tcMar>
          </w:tcPr>
          <w:p>
            <w:pPr>
              <w:spacing w:after="20"/>
            </w:pPr>
            <w:r>
              <w:rPr>
                <w:sz w:val="17"/>
              </w:rPr>
              <w:t>Restore exercises meet documented recovery objectives.</w:t>
            </w:r>
          </w:p>
        </w:tc>
      </w:tr>
    </w:tbl>
    <w:p>
      <w:pPr>
        <w:spacing w:after="20"/>
      </w:pPr>
    </w:p>
    <w:p>
      <w:pPr>
        <w:pStyle w:val="Heading1"/>
      </w:pPr>
      <w:r>
        <w:t>3 Roles assumptions and invariants</w:t>
      </w:r>
    </w:p>
    <w:p>
      <w:pPr>
        <w:pStyle w:val="Heading2"/>
      </w:pPr>
      <w:r>
        <w:t>3.1 Role model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17365D"/>
            <w:vAlign w:val="center"/>
            <w:tcMar>
              <w:top w:w="100" w:type="dxa"/>
              <w:start w:w="110" w:type="dxa"/>
              <w:bottom w:w="100" w:type="dxa"/>
              <w:end w:w="110" w:type="dxa"/>
            </w:tcMar>
          </w:tcPr>
          <w:p>
            <w:r>
              <w:rPr>
                <w:b/>
                <w:color w:val="FFFFFF"/>
                <w:sz w:val="18"/>
              </w:rPr>
              <w:t>Role</w:t>
            </w:r>
          </w:p>
        </w:tc>
        <w:tc>
          <w:tcPr>
            <w:tcW w:type="dxa" w:w="3672"/>
            <w:shd w:fill="17365D"/>
            <w:vAlign w:val="center"/>
            <w:tcMar>
              <w:top w:w="100" w:type="dxa"/>
              <w:start w:w="110" w:type="dxa"/>
              <w:bottom w:w="100" w:type="dxa"/>
              <w:end w:w="110" w:type="dxa"/>
            </w:tcMar>
          </w:tcPr>
          <w:p>
            <w:r>
              <w:rPr>
                <w:b/>
                <w:color w:val="FFFFFF"/>
                <w:sz w:val="18"/>
              </w:rPr>
              <w:t>Permitted responsibilities</w:t>
            </w:r>
          </w:p>
        </w:tc>
        <w:tc>
          <w:tcPr>
            <w:tcW w:type="dxa" w:w="3600"/>
            <w:shd w:fill="17365D"/>
            <w:vAlign w:val="center"/>
            <w:tcMar>
              <w:top w:w="100" w:type="dxa"/>
              <w:start w:w="110" w:type="dxa"/>
              <w:bottom w:w="100" w:type="dxa"/>
              <w:end w:w="110" w:type="dxa"/>
            </w:tcMar>
          </w:tcPr>
          <w:p>
            <w:r>
              <w:rPr>
                <w:b/>
                <w:color w:val="FFFFFF"/>
                <w:sz w:val="18"/>
              </w:rPr>
              <w:t>Explicit exclusions</w:t>
            </w:r>
          </w:p>
        </w:tc>
      </w:tr>
      <w:tr>
        <w:tc>
          <w:tcPr>
            <w:tcW w:type="dxa" w:w="1800"/>
            <w:vAlign w:val="center"/>
            <w:shd w:fill="FFFFFF"/>
            <w:tcMar>
              <w:top w:w="100" w:type="dxa"/>
              <w:start w:w="110" w:type="dxa"/>
              <w:bottom w:w="100" w:type="dxa"/>
              <w:end w:w="110" w:type="dxa"/>
            </w:tcMar>
          </w:tcPr>
          <w:p>
            <w:pPr>
              <w:spacing w:after="20"/>
            </w:pPr>
            <w:r>
              <w:rPr>
                <w:sz w:val="17"/>
              </w:rPr>
              <w:t>User</w:t>
            </w:r>
          </w:p>
        </w:tc>
        <w:tc>
          <w:tcPr>
            <w:tcW w:type="dxa" w:w="3672"/>
            <w:vAlign w:val="center"/>
            <w:shd w:fill="FFFFFF"/>
            <w:tcMar>
              <w:top w:w="100" w:type="dxa"/>
              <w:start w:w="110" w:type="dxa"/>
              <w:bottom w:w="100" w:type="dxa"/>
              <w:end w:w="110" w:type="dxa"/>
            </w:tcMar>
          </w:tcPr>
          <w:p>
            <w:pPr>
              <w:spacing w:after="20"/>
            </w:pPr>
            <w:r>
              <w:rPr>
                <w:sz w:val="17"/>
              </w:rPr>
              <w:t>Run approved use cases and manage owned conversations</w:t>
            </w:r>
          </w:p>
        </w:tc>
        <w:tc>
          <w:tcPr>
            <w:tcW w:type="dxa" w:w="3600"/>
            <w:vAlign w:val="center"/>
            <w:shd w:fill="FFFFFF"/>
            <w:tcMar>
              <w:top w:w="100" w:type="dxa"/>
              <w:start w:w="110" w:type="dxa"/>
              <w:bottom w:w="100" w:type="dxa"/>
              <w:end w:w="110" w:type="dxa"/>
            </w:tcMar>
          </w:tcPr>
          <w:p>
            <w:pPr>
              <w:spacing w:after="20"/>
            </w:pPr>
            <w:r>
              <w:rPr>
                <w:sz w:val="17"/>
              </w:rPr>
              <w:t>Cannot publish use cases or access another user's private data</w:t>
            </w:r>
          </w:p>
        </w:tc>
      </w:tr>
      <w:tr>
        <w:tc>
          <w:tcPr>
            <w:tcW w:type="dxa" w:w="1800"/>
            <w:vAlign w:val="center"/>
            <w:shd w:fill="EDF3F8"/>
            <w:tcMar>
              <w:top w:w="100" w:type="dxa"/>
              <w:start w:w="110" w:type="dxa"/>
              <w:bottom w:w="100" w:type="dxa"/>
              <w:end w:w="110" w:type="dxa"/>
            </w:tcMar>
          </w:tcPr>
          <w:p>
            <w:pPr>
              <w:spacing w:after="20"/>
            </w:pPr>
            <w:r>
              <w:rPr>
                <w:sz w:val="17"/>
              </w:rPr>
              <w:t>Designer</w:t>
            </w:r>
          </w:p>
        </w:tc>
        <w:tc>
          <w:tcPr>
            <w:tcW w:type="dxa" w:w="3672"/>
            <w:vAlign w:val="center"/>
            <w:shd w:fill="EDF3F8"/>
            <w:tcMar>
              <w:top w:w="100" w:type="dxa"/>
              <w:start w:w="110" w:type="dxa"/>
              <w:bottom w:w="100" w:type="dxa"/>
              <w:end w:w="110" w:type="dxa"/>
            </w:tcMar>
          </w:tcPr>
          <w:p>
            <w:pPr>
              <w:spacing w:after="20"/>
            </w:pPr>
            <w:r>
              <w:rPr>
                <w:sz w:val="17"/>
              </w:rPr>
              <w:t>Draft and test use-case definitions</w:t>
            </w:r>
          </w:p>
        </w:tc>
        <w:tc>
          <w:tcPr>
            <w:tcW w:type="dxa" w:w="3600"/>
            <w:vAlign w:val="center"/>
            <w:shd w:fill="EDF3F8"/>
            <w:tcMar>
              <w:top w:w="100" w:type="dxa"/>
              <w:start w:w="110" w:type="dxa"/>
              <w:bottom w:w="100" w:type="dxa"/>
              <w:end w:w="110" w:type="dxa"/>
            </w:tcMar>
          </w:tcPr>
          <w:p>
            <w:pPr>
              <w:spacing w:after="20"/>
            </w:pPr>
            <w:r>
              <w:rPr>
                <w:sz w:val="17"/>
              </w:rPr>
              <w:t>Cannot approve own production release</w:t>
            </w:r>
          </w:p>
        </w:tc>
      </w:tr>
      <w:tr>
        <w:tc>
          <w:tcPr>
            <w:tcW w:type="dxa" w:w="1800"/>
            <w:vAlign w:val="center"/>
            <w:shd w:fill="FFFFFF"/>
            <w:tcMar>
              <w:top w:w="100" w:type="dxa"/>
              <w:start w:w="110" w:type="dxa"/>
              <w:bottom w:w="100" w:type="dxa"/>
              <w:end w:w="110" w:type="dxa"/>
            </w:tcMar>
          </w:tcPr>
          <w:p>
            <w:pPr>
              <w:spacing w:after="20"/>
            </w:pPr>
            <w:r>
              <w:rPr>
                <w:sz w:val="17"/>
              </w:rPr>
              <w:t>Knowledge owner</w:t>
            </w:r>
          </w:p>
        </w:tc>
        <w:tc>
          <w:tcPr>
            <w:tcW w:type="dxa" w:w="3672"/>
            <w:vAlign w:val="center"/>
            <w:shd w:fill="FFFFFF"/>
            <w:tcMar>
              <w:top w:w="100" w:type="dxa"/>
              <w:start w:w="110" w:type="dxa"/>
              <w:bottom w:w="100" w:type="dxa"/>
              <w:end w:w="110" w:type="dxa"/>
            </w:tcMar>
          </w:tcPr>
          <w:p>
            <w:pPr>
              <w:spacing w:after="20"/>
            </w:pPr>
            <w:r>
              <w:rPr>
                <w:sz w:val="17"/>
              </w:rPr>
              <w:t>Approve sources and metadata policies</w:t>
            </w:r>
          </w:p>
        </w:tc>
        <w:tc>
          <w:tcPr>
            <w:tcW w:type="dxa" w:w="3600"/>
            <w:vAlign w:val="center"/>
            <w:shd w:fill="FFFFFF"/>
            <w:tcMar>
              <w:top w:w="100" w:type="dxa"/>
              <w:start w:w="110" w:type="dxa"/>
              <w:bottom w:w="100" w:type="dxa"/>
              <w:end w:w="110" w:type="dxa"/>
            </w:tcMar>
          </w:tcPr>
          <w:p>
            <w:pPr>
              <w:spacing w:after="20"/>
            </w:pPr>
            <w:r>
              <w:rPr>
                <w:sz w:val="17"/>
              </w:rPr>
              <w:t>Cannot bypass access filters</w:t>
            </w:r>
          </w:p>
        </w:tc>
      </w:tr>
      <w:tr>
        <w:tc>
          <w:tcPr>
            <w:tcW w:type="dxa" w:w="1800"/>
            <w:vAlign w:val="center"/>
            <w:shd w:fill="EDF3F8"/>
            <w:tcMar>
              <w:top w:w="100" w:type="dxa"/>
              <w:start w:w="110" w:type="dxa"/>
              <w:bottom w:w="100" w:type="dxa"/>
              <w:end w:w="110" w:type="dxa"/>
            </w:tcMar>
          </w:tcPr>
          <w:p>
            <w:pPr>
              <w:spacing w:after="20"/>
            </w:pPr>
            <w:r>
              <w:rPr>
                <w:sz w:val="17"/>
              </w:rPr>
              <w:t>Administrator</w:t>
            </w:r>
          </w:p>
        </w:tc>
        <w:tc>
          <w:tcPr>
            <w:tcW w:type="dxa" w:w="3672"/>
            <w:vAlign w:val="center"/>
            <w:shd w:fill="EDF3F8"/>
            <w:tcMar>
              <w:top w:w="100" w:type="dxa"/>
              <w:start w:w="110" w:type="dxa"/>
              <w:bottom w:w="100" w:type="dxa"/>
              <w:end w:w="110" w:type="dxa"/>
            </w:tcMar>
          </w:tcPr>
          <w:p>
            <w:pPr>
              <w:spacing w:after="20"/>
            </w:pPr>
            <w:r>
              <w:rPr>
                <w:sz w:val="17"/>
              </w:rPr>
              <w:t>Configure platform features and identity integration</w:t>
            </w:r>
          </w:p>
        </w:tc>
        <w:tc>
          <w:tcPr>
            <w:tcW w:type="dxa" w:w="3600"/>
            <w:vAlign w:val="center"/>
            <w:shd w:fill="EDF3F8"/>
            <w:tcMar>
              <w:top w:w="100" w:type="dxa"/>
              <w:start w:w="110" w:type="dxa"/>
              <w:bottom w:w="100" w:type="dxa"/>
              <w:end w:w="110" w:type="dxa"/>
            </w:tcMar>
          </w:tcPr>
          <w:p>
            <w:pPr>
              <w:spacing w:after="20"/>
            </w:pPr>
            <w:r>
              <w:rPr>
                <w:sz w:val="17"/>
              </w:rPr>
              <w:t>Cannot use model output to grant permissions</w:t>
            </w:r>
          </w:p>
        </w:tc>
      </w:tr>
      <w:tr>
        <w:tc>
          <w:tcPr>
            <w:tcW w:type="dxa" w:w="1800"/>
            <w:vAlign w:val="center"/>
            <w:shd w:fill="FFFFFF"/>
            <w:tcMar>
              <w:top w:w="100" w:type="dxa"/>
              <w:start w:w="110" w:type="dxa"/>
              <w:bottom w:w="100" w:type="dxa"/>
              <w:end w:w="110" w:type="dxa"/>
            </w:tcMar>
          </w:tcPr>
          <w:p>
            <w:pPr>
              <w:spacing w:after="20"/>
            </w:pPr>
            <w:r>
              <w:rPr>
                <w:sz w:val="17"/>
              </w:rPr>
              <w:t>Tool approver</w:t>
            </w:r>
          </w:p>
        </w:tc>
        <w:tc>
          <w:tcPr>
            <w:tcW w:type="dxa" w:w="3672"/>
            <w:vAlign w:val="center"/>
            <w:shd w:fill="FFFFFF"/>
            <w:tcMar>
              <w:top w:w="100" w:type="dxa"/>
              <w:start w:w="110" w:type="dxa"/>
              <w:bottom w:w="100" w:type="dxa"/>
              <w:end w:w="110" w:type="dxa"/>
            </w:tcMar>
          </w:tcPr>
          <w:p>
            <w:pPr>
              <w:spacing w:after="20"/>
            </w:pPr>
            <w:r>
              <w:rPr>
                <w:sz w:val="17"/>
              </w:rPr>
              <w:t>Approve agent tools and consequential actions</w:t>
            </w:r>
          </w:p>
        </w:tc>
        <w:tc>
          <w:tcPr>
            <w:tcW w:type="dxa" w:w="3600"/>
            <w:vAlign w:val="center"/>
            <w:shd w:fill="FFFFFF"/>
            <w:tcMar>
              <w:top w:w="100" w:type="dxa"/>
              <w:start w:w="110" w:type="dxa"/>
              <w:bottom w:w="100" w:type="dxa"/>
              <w:end w:w="110" w:type="dxa"/>
            </w:tcMar>
          </w:tcPr>
          <w:p>
            <w:pPr>
              <w:spacing w:after="20"/>
            </w:pPr>
            <w:r>
              <w:rPr>
                <w:sz w:val="17"/>
              </w:rPr>
              <w:t>Cannot broaden user authority through an agent</w:t>
            </w:r>
          </w:p>
        </w:tc>
      </w:tr>
      <w:tr>
        <w:tc>
          <w:tcPr>
            <w:tcW w:type="dxa" w:w="1800"/>
            <w:vAlign w:val="center"/>
            <w:shd w:fill="EDF3F8"/>
            <w:tcMar>
              <w:top w:w="100" w:type="dxa"/>
              <w:start w:w="110" w:type="dxa"/>
              <w:bottom w:w="100" w:type="dxa"/>
              <w:end w:w="110" w:type="dxa"/>
            </w:tcMar>
          </w:tcPr>
          <w:p>
            <w:pPr>
              <w:spacing w:after="20"/>
            </w:pPr>
            <w:r>
              <w:rPr>
                <w:sz w:val="17"/>
              </w:rPr>
              <w:t>Auditor</w:t>
            </w:r>
          </w:p>
        </w:tc>
        <w:tc>
          <w:tcPr>
            <w:tcW w:type="dxa" w:w="3672"/>
            <w:vAlign w:val="center"/>
            <w:shd w:fill="EDF3F8"/>
            <w:tcMar>
              <w:top w:w="100" w:type="dxa"/>
              <w:start w:w="110" w:type="dxa"/>
              <w:bottom w:w="100" w:type="dxa"/>
              <w:end w:w="110" w:type="dxa"/>
            </w:tcMar>
          </w:tcPr>
          <w:p>
            <w:pPr>
              <w:spacing w:after="20"/>
            </w:pPr>
            <w:r>
              <w:rPr>
                <w:sz w:val="17"/>
              </w:rPr>
              <w:t>Read evidence and control results</w:t>
            </w:r>
          </w:p>
        </w:tc>
        <w:tc>
          <w:tcPr>
            <w:tcW w:type="dxa" w:w="3600"/>
            <w:vAlign w:val="center"/>
            <w:shd w:fill="EDF3F8"/>
            <w:tcMar>
              <w:top w:w="100" w:type="dxa"/>
              <w:start w:w="110" w:type="dxa"/>
              <w:bottom w:w="100" w:type="dxa"/>
              <w:end w:w="110" w:type="dxa"/>
            </w:tcMar>
          </w:tcPr>
          <w:p>
            <w:pPr>
              <w:spacing w:after="20"/>
            </w:pPr>
            <w:r>
              <w:rPr>
                <w:sz w:val="17"/>
              </w:rPr>
              <w:t>Cannot alter evidence records</w:t>
            </w:r>
          </w:p>
        </w:tc>
      </w:tr>
    </w:tbl>
    <w:p>
      <w:pPr>
        <w:spacing w:after="20"/>
      </w:pPr>
    </w:p>
    <w:p>
      <w:pPr>
        <w:pStyle w:val="Heading2"/>
      </w:pPr>
      <w:r>
        <w:t>3.2 Business invariants</w:t>
      </w:r>
    </w:p>
    <w:p>
      <w:r>
        <w:t>Invariants express rules that must remain true across model changes, retries, interfaces and deployment modes. They are stronger than prompt instructions because deterministic controls enforce them.</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80"/>
            <w:shd w:fill="17365D"/>
            <w:vAlign w:val="center"/>
            <w:tcMar>
              <w:top w:w="100" w:type="dxa"/>
              <w:start w:w="110" w:type="dxa"/>
              <w:bottom w:w="100" w:type="dxa"/>
              <w:end w:w="110" w:type="dxa"/>
            </w:tcMar>
          </w:tcPr>
          <w:p>
            <w:r>
              <w:rPr>
                <w:b/>
                <w:color w:val="FFFFFF"/>
                <w:sz w:val="18"/>
              </w:rPr>
              <w:t>ID</w:t>
            </w:r>
          </w:p>
        </w:tc>
        <w:tc>
          <w:tcPr>
            <w:tcW w:type="dxa" w:w="5256"/>
            <w:shd w:fill="17365D"/>
            <w:vAlign w:val="center"/>
            <w:tcMar>
              <w:top w:w="100" w:type="dxa"/>
              <w:start w:w="110" w:type="dxa"/>
              <w:bottom w:w="100" w:type="dxa"/>
              <w:end w:w="110" w:type="dxa"/>
            </w:tcMar>
          </w:tcPr>
          <w:p>
            <w:r>
              <w:rPr>
                <w:b/>
                <w:color w:val="FFFFFF"/>
                <w:sz w:val="18"/>
              </w:rPr>
              <w:t>Invariant</w:t>
            </w:r>
          </w:p>
        </w:tc>
        <w:tc>
          <w:tcPr>
            <w:tcW w:type="dxa" w:w="2736"/>
            <w:shd w:fill="17365D"/>
            <w:vAlign w:val="center"/>
            <w:tcMar>
              <w:top w:w="100" w:type="dxa"/>
              <w:start w:w="110" w:type="dxa"/>
              <w:bottom w:w="100" w:type="dxa"/>
              <w:end w:w="110" w:type="dxa"/>
            </w:tcMar>
          </w:tcPr>
          <w:p>
            <w:r>
              <w:rPr>
                <w:b/>
                <w:color w:val="FFFFFF"/>
                <w:sz w:val="18"/>
              </w:rPr>
              <w:t>Primary enforcement</w:t>
            </w:r>
          </w:p>
        </w:tc>
      </w:tr>
      <w:tr>
        <w:tc>
          <w:tcPr>
            <w:tcW w:type="dxa" w:w="1080"/>
            <w:vAlign w:val="center"/>
            <w:shd w:fill="FFFFFF"/>
            <w:tcMar>
              <w:top w:w="100" w:type="dxa"/>
              <w:start w:w="110" w:type="dxa"/>
              <w:bottom w:w="100" w:type="dxa"/>
              <w:end w:w="110" w:type="dxa"/>
            </w:tcMar>
          </w:tcPr>
          <w:p>
            <w:pPr>
              <w:spacing w:after="20"/>
            </w:pPr>
            <w:r>
              <w:rPr>
                <w:sz w:val="17"/>
              </w:rPr>
              <w:t>INV 01</w:t>
            </w:r>
          </w:p>
        </w:tc>
        <w:tc>
          <w:tcPr>
            <w:tcW w:type="dxa" w:w="5256"/>
            <w:vAlign w:val="center"/>
            <w:shd w:fill="FFFFFF"/>
            <w:tcMar>
              <w:top w:w="100" w:type="dxa"/>
              <w:start w:w="110" w:type="dxa"/>
              <w:bottom w:w="100" w:type="dxa"/>
              <w:end w:w="110" w:type="dxa"/>
            </w:tcMar>
          </w:tcPr>
          <w:p>
            <w:pPr>
              <w:spacing w:after="20"/>
            </w:pPr>
            <w:r>
              <w:rPr>
                <w:sz w:val="17"/>
              </w:rPr>
              <w:t>Every protected operation is linked to an authenticated identity.</w:t>
            </w:r>
          </w:p>
        </w:tc>
        <w:tc>
          <w:tcPr>
            <w:tcW w:type="dxa" w:w="2736"/>
            <w:vAlign w:val="center"/>
            <w:shd w:fill="FFFFFF"/>
            <w:tcMar>
              <w:top w:w="100" w:type="dxa"/>
              <w:start w:w="110" w:type="dxa"/>
              <w:bottom w:w="100" w:type="dxa"/>
              <w:end w:w="110" w:type="dxa"/>
            </w:tcMar>
          </w:tcPr>
          <w:p>
            <w:pPr>
              <w:spacing w:after="20"/>
            </w:pPr>
            <w:r>
              <w:rPr>
                <w:sz w:val="17"/>
              </w:rPr>
              <w:t>Cognito, API Gateway and IAM</w:t>
            </w:r>
          </w:p>
        </w:tc>
      </w:tr>
      <w:tr>
        <w:tc>
          <w:tcPr>
            <w:tcW w:type="dxa" w:w="1080"/>
            <w:vAlign w:val="center"/>
            <w:shd w:fill="EDF3F8"/>
            <w:tcMar>
              <w:top w:w="100" w:type="dxa"/>
              <w:start w:w="110" w:type="dxa"/>
              <w:bottom w:w="100" w:type="dxa"/>
              <w:end w:w="110" w:type="dxa"/>
            </w:tcMar>
          </w:tcPr>
          <w:p>
            <w:pPr>
              <w:spacing w:after="20"/>
            </w:pPr>
            <w:r>
              <w:rPr>
                <w:sz w:val="17"/>
              </w:rPr>
              <w:t>INV 02</w:t>
            </w:r>
          </w:p>
        </w:tc>
        <w:tc>
          <w:tcPr>
            <w:tcW w:type="dxa" w:w="5256"/>
            <w:vAlign w:val="center"/>
            <w:shd w:fill="EDF3F8"/>
            <w:tcMar>
              <w:top w:w="100" w:type="dxa"/>
              <w:start w:w="110" w:type="dxa"/>
              <w:bottom w:w="100" w:type="dxa"/>
              <w:end w:w="110" w:type="dxa"/>
            </w:tcMar>
          </w:tcPr>
          <w:p>
            <w:pPr>
              <w:spacing w:after="20"/>
            </w:pPr>
            <w:r>
              <w:rPr>
                <w:sz w:val="17"/>
              </w:rPr>
              <w:t>A user cannot access another user's private conversations, files or prompts without an explicit share.</w:t>
            </w:r>
          </w:p>
        </w:tc>
        <w:tc>
          <w:tcPr>
            <w:tcW w:type="dxa" w:w="2736"/>
            <w:vAlign w:val="center"/>
            <w:shd w:fill="EDF3F8"/>
            <w:tcMar>
              <w:top w:w="100" w:type="dxa"/>
              <w:start w:w="110" w:type="dxa"/>
              <w:bottom w:w="100" w:type="dxa"/>
              <w:end w:w="110" w:type="dxa"/>
            </w:tcMar>
          </w:tcPr>
          <w:p>
            <w:pPr>
              <w:spacing w:after="20"/>
            </w:pPr>
            <w:r>
              <w:rPr>
                <w:sz w:val="17"/>
              </w:rPr>
              <w:t>Backend ownership checks</w:t>
            </w:r>
          </w:p>
        </w:tc>
      </w:tr>
      <w:tr>
        <w:tc>
          <w:tcPr>
            <w:tcW w:type="dxa" w:w="1080"/>
            <w:vAlign w:val="center"/>
            <w:shd w:fill="FFFFFF"/>
            <w:tcMar>
              <w:top w:w="100" w:type="dxa"/>
              <w:start w:w="110" w:type="dxa"/>
              <w:bottom w:w="100" w:type="dxa"/>
              <w:end w:w="110" w:type="dxa"/>
            </w:tcMar>
          </w:tcPr>
          <w:p>
            <w:pPr>
              <w:spacing w:after="20"/>
            </w:pPr>
            <w:r>
              <w:rPr>
                <w:sz w:val="17"/>
              </w:rPr>
              <w:t>INV 03</w:t>
            </w:r>
          </w:p>
        </w:tc>
        <w:tc>
          <w:tcPr>
            <w:tcW w:type="dxa" w:w="5256"/>
            <w:vAlign w:val="center"/>
            <w:shd w:fill="FFFFFF"/>
            <w:tcMar>
              <w:top w:w="100" w:type="dxa"/>
              <w:start w:w="110" w:type="dxa"/>
              <w:bottom w:w="100" w:type="dxa"/>
              <w:end w:w="110" w:type="dxa"/>
            </w:tcMar>
          </w:tcPr>
          <w:p>
            <w:pPr>
              <w:spacing w:after="20"/>
            </w:pPr>
            <w:r>
              <w:rPr>
                <w:sz w:val="17"/>
              </w:rPr>
              <w:t>Retrieval never returns content outside the user's authorized scope.</w:t>
            </w:r>
          </w:p>
        </w:tc>
        <w:tc>
          <w:tcPr>
            <w:tcW w:type="dxa" w:w="2736"/>
            <w:vAlign w:val="center"/>
            <w:shd w:fill="FFFFFF"/>
            <w:tcMar>
              <w:top w:w="100" w:type="dxa"/>
              <w:start w:w="110" w:type="dxa"/>
              <w:bottom w:w="100" w:type="dxa"/>
              <w:end w:w="110" w:type="dxa"/>
            </w:tcMar>
          </w:tcPr>
          <w:p>
            <w:pPr>
              <w:spacing w:after="20"/>
            </w:pPr>
            <w:r>
              <w:rPr>
                <w:sz w:val="17"/>
              </w:rPr>
              <w:t>Identity-derived metadata filters</w:t>
            </w:r>
          </w:p>
        </w:tc>
      </w:tr>
      <w:tr>
        <w:tc>
          <w:tcPr>
            <w:tcW w:type="dxa" w:w="1080"/>
            <w:vAlign w:val="center"/>
            <w:shd w:fill="EDF3F8"/>
            <w:tcMar>
              <w:top w:w="100" w:type="dxa"/>
              <w:start w:w="110" w:type="dxa"/>
              <w:bottom w:w="100" w:type="dxa"/>
              <w:end w:w="110" w:type="dxa"/>
            </w:tcMar>
          </w:tcPr>
          <w:p>
            <w:pPr>
              <w:spacing w:after="20"/>
            </w:pPr>
            <w:r>
              <w:rPr>
                <w:sz w:val="17"/>
              </w:rPr>
              <w:t>INV 04</w:t>
            </w:r>
          </w:p>
        </w:tc>
        <w:tc>
          <w:tcPr>
            <w:tcW w:type="dxa" w:w="5256"/>
            <w:vAlign w:val="center"/>
            <w:shd w:fill="EDF3F8"/>
            <w:tcMar>
              <w:top w:w="100" w:type="dxa"/>
              <w:start w:w="110" w:type="dxa"/>
              <w:bottom w:w="100" w:type="dxa"/>
              <w:end w:w="110" w:type="dxa"/>
            </w:tcMar>
          </w:tcPr>
          <w:p>
            <w:pPr>
              <w:spacing w:after="20"/>
            </w:pPr>
            <w:r>
              <w:rPr>
                <w:sz w:val="17"/>
              </w:rPr>
              <w:t>Only approved models, prompts, tools and knowledge versions are used.</w:t>
            </w:r>
          </w:p>
        </w:tc>
        <w:tc>
          <w:tcPr>
            <w:tcW w:type="dxa" w:w="2736"/>
            <w:vAlign w:val="center"/>
            <w:shd w:fill="EDF3F8"/>
            <w:tcMar>
              <w:top w:w="100" w:type="dxa"/>
              <w:start w:w="110" w:type="dxa"/>
              <w:bottom w:w="100" w:type="dxa"/>
              <w:end w:w="110" w:type="dxa"/>
            </w:tcMar>
          </w:tcPr>
          <w:p>
            <w:pPr>
              <w:spacing w:after="20"/>
            </w:pPr>
            <w:r>
              <w:rPr>
                <w:sz w:val="17"/>
              </w:rPr>
              <w:t>Configuration registry and deployment gates</w:t>
            </w:r>
          </w:p>
        </w:tc>
      </w:tr>
      <w:tr>
        <w:tc>
          <w:tcPr>
            <w:tcW w:type="dxa" w:w="1080"/>
            <w:vAlign w:val="center"/>
            <w:shd w:fill="FFFFFF"/>
            <w:tcMar>
              <w:top w:w="100" w:type="dxa"/>
              <w:start w:w="110" w:type="dxa"/>
              <w:bottom w:w="100" w:type="dxa"/>
              <w:end w:w="110" w:type="dxa"/>
            </w:tcMar>
          </w:tcPr>
          <w:p>
            <w:pPr>
              <w:spacing w:after="20"/>
            </w:pPr>
            <w:r>
              <w:rPr>
                <w:sz w:val="17"/>
              </w:rPr>
              <w:t>INV 05</w:t>
            </w:r>
          </w:p>
        </w:tc>
        <w:tc>
          <w:tcPr>
            <w:tcW w:type="dxa" w:w="5256"/>
            <w:vAlign w:val="center"/>
            <w:shd w:fill="FFFFFF"/>
            <w:tcMar>
              <w:top w:w="100" w:type="dxa"/>
              <w:start w:w="110" w:type="dxa"/>
              <w:bottom w:w="100" w:type="dxa"/>
              <w:end w:w="110" w:type="dxa"/>
            </w:tcMar>
          </w:tcPr>
          <w:p>
            <w:pPr>
              <w:spacing w:after="20"/>
            </w:pPr>
            <w:r>
              <w:rPr>
                <w:sz w:val="17"/>
              </w:rPr>
              <w:t>Model output is untrusted until validated for its intended use.</w:t>
            </w:r>
          </w:p>
        </w:tc>
        <w:tc>
          <w:tcPr>
            <w:tcW w:type="dxa" w:w="2736"/>
            <w:vAlign w:val="center"/>
            <w:shd w:fill="FFFFFF"/>
            <w:tcMar>
              <w:top w:w="100" w:type="dxa"/>
              <w:start w:w="110" w:type="dxa"/>
              <w:bottom w:w="100" w:type="dxa"/>
              <w:end w:w="110" w:type="dxa"/>
            </w:tcMar>
          </w:tcPr>
          <w:p>
            <w:pPr>
              <w:spacing w:after="20"/>
            </w:pPr>
            <w:r>
              <w:rPr>
                <w:sz w:val="17"/>
              </w:rPr>
              <w:t>Output schema and policy validation</w:t>
            </w:r>
          </w:p>
        </w:tc>
      </w:tr>
      <w:tr>
        <w:tc>
          <w:tcPr>
            <w:tcW w:type="dxa" w:w="1080"/>
            <w:vAlign w:val="center"/>
            <w:shd w:fill="EDF3F8"/>
            <w:tcMar>
              <w:top w:w="100" w:type="dxa"/>
              <w:start w:w="110" w:type="dxa"/>
              <w:bottom w:w="100" w:type="dxa"/>
              <w:end w:w="110" w:type="dxa"/>
            </w:tcMar>
          </w:tcPr>
          <w:p>
            <w:pPr>
              <w:spacing w:after="20"/>
            </w:pPr>
            <w:r>
              <w:rPr>
                <w:sz w:val="17"/>
              </w:rPr>
              <w:t>INV 06</w:t>
            </w:r>
          </w:p>
        </w:tc>
        <w:tc>
          <w:tcPr>
            <w:tcW w:type="dxa" w:w="5256"/>
            <w:vAlign w:val="center"/>
            <w:shd w:fill="EDF3F8"/>
            <w:tcMar>
              <w:top w:w="100" w:type="dxa"/>
              <w:start w:w="110" w:type="dxa"/>
              <w:bottom w:w="100" w:type="dxa"/>
              <w:end w:w="110" w:type="dxa"/>
            </w:tcMar>
          </w:tcPr>
          <w:p>
            <w:pPr>
              <w:spacing w:after="20"/>
            </w:pPr>
            <w:r>
              <w:rPr>
                <w:sz w:val="17"/>
              </w:rPr>
              <w:t>A model or agent cannot create authority beyond the authenticated user.</w:t>
            </w:r>
          </w:p>
        </w:tc>
        <w:tc>
          <w:tcPr>
            <w:tcW w:type="dxa" w:w="2736"/>
            <w:vAlign w:val="center"/>
            <w:shd w:fill="EDF3F8"/>
            <w:tcMar>
              <w:top w:w="100" w:type="dxa"/>
              <w:start w:w="110" w:type="dxa"/>
              <w:bottom w:w="100" w:type="dxa"/>
              <w:end w:w="110" w:type="dxa"/>
            </w:tcMar>
          </w:tcPr>
          <w:p>
            <w:pPr>
              <w:spacing w:after="20"/>
            </w:pPr>
            <w:r>
              <w:rPr>
                <w:sz w:val="17"/>
              </w:rPr>
              <w:t>IAM and policy engine</w:t>
            </w:r>
          </w:p>
        </w:tc>
      </w:tr>
      <w:tr>
        <w:tc>
          <w:tcPr>
            <w:tcW w:type="dxa" w:w="1080"/>
            <w:vAlign w:val="center"/>
            <w:shd w:fill="FFFFFF"/>
            <w:tcMar>
              <w:top w:w="100" w:type="dxa"/>
              <w:start w:w="110" w:type="dxa"/>
              <w:bottom w:w="100" w:type="dxa"/>
              <w:end w:w="110" w:type="dxa"/>
            </w:tcMar>
          </w:tcPr>
          <w:p>
            <w:pPr>
              <w:spacing w:after="20"/>
            </w:pPr>
            <w:r>
              <w:rPr>
                <w:sz w:val="17"/>
              </w:rPr>
              <w:t>INV 07</w:t>
            </w:r>
          </w:p>
        </w:tc>
        <w:tc>
          <w:tcPr>
            <w:tcW w:type="dxa" w:w="5256"/>
            <w:vAlign w:val="center"/>
            <w:shd w:fill="FFFFFF"/>
            <w:tcMar>
              <w:top w:w="100" w:type="dxa"/>
              <w:start w:w="110" w:type="dxa"/>
              <w:bottom w:w="100" w:type="dxa"/>
              <w:end w:w="110" w:type="dxa"/>
            </w:tcMar>
          </w:tcPr>
          <w:p>
            <w:pPr>
              <w:spacing w:after="20"/>
            </w:pPr>
            <w:r>
              <w:rPr>
                <w:sz w:val="17"/>
              </w:rPr>
              <w:t>Consequential actions require explicit human approval.</w:t>
            </w:r>
          </w:p>
        </w:tc>
        <w:tc>
          <w:tcPr>
            <w:tcW w:type="dxa" w:w="2736"/>
            <w:vAlign w:val="center"/>
            <w:shd w:fill="FFFFFF"/>
            <w:tcMar>
              <w:top w:w="100" w:type="dxa"/>
              <w:start w:w="110" w:type="dxa"/>
              <w:bottom w:w="100" w:type="dxa"/>
              <w:end w:w="110" w:type="dxa"/>
            </w:tcMar>
          </w:tcPr>
          <w:p>
            <w:pPr>
              <w:spacing w:after="20"/>
            </w:pPr>
            <w:r>
              <w:rPr>
                <w:sz w:val="17"/>
              </w:rPr>
              <w:t>Approval state machine</w:t>
            </w:r>
          </w:p>
        </w:tc>
      </w:tr>
      <w:tr>
        <w:tc>
          <w:tcPr>
            <w:tcW w:type="dxa" w:w="1080"/>
            <w:vAlign w:val="center"/>
            <w:shd w:fill="EDF3F8"/>
            <w:tcMar>
              <w:top w:w="100" w:type="dxa"/>
              <w:start w:w="110" w:type="dxa"/>
              <w:bottom w:w="100" w:type="dxa"/>
              <w:end w:w="110" w:type="dxa"/>
            </w:tcMar>
          </w:tcPr>
          <w:p>
            <w:pPr>
              <w:spacing w:after="20"/>
            </w:pPr>
            <w:r>
              <w:rPr>
                <w:sz w:val="17"/>
              </w:rPr>
              <w:t>INV 08</w:t>
            </w:r>
          </w:p>
        </w:tc>
        <w:tc>
          <w:tcPr>
            <w:tcW w:type="dxa" w:w="5256"/>
            <w:vAlign w:val="center"/>
            <w:shd w:fill="EDF3F8"/>
            <w:tcMar>
              <w:top w:w="100" w:type="dxa"/>
              <w:start w:w="110" w:type="dxa"/>
              <w:bottom w:w="100" w:type="dxa"/>
              <w:end w:w="110" w:type="dxa"/>
            </w:tcMar>
          </w:tcPr>
          <w:p>
            <w:pPr>
              <w:spacing w:after="20"/>
            </w:pPr>
            <w:r>
              <w:rPr>
                <w:sz w:val="17"/>
              </w:rPr>
              <w:t>A grounded claim cites evidence actually returned by retrieval.</w:t>
            </w:r>
          </w:p>
        </w:tc>
        <w:tc>
          <w:tcPr>
            <w:tcW w:type="dxa" w:w="2736"/>
            <w:vAlign w:val="center"/>
            <w:shd w:fill="EDF3F8"/>
            <w:tcMar>
              <w:top w:w="100" w:type="dxa"/>
              <w:start w:w="110" w:type="dxa"/>
              <w:bottom w:w="100" w:type="dxa"/>
              <w:end w:w="110" w:type="dxa"/>
            </w:tcMar>
          </w:tcPr>
          <w:p>
            <w:pPr>
              <w:spacing w:after="20"/>
            </w:pPr>
            <w:r>
              <w:rPr>
                <w:sz w:val="17"/>
              </w:rPr>
              <w:t>Passage identifiers and evidence validation</w:t>
            </w:r>
          </w:p>
        </w:tc>
      </w:tr>
      <w:tr>
        <w:tc>
          <w:tcPr>
            <w:tcW w:type="dxa" w:w="1080"/>
            <w:vAlign w:val="center"/>
            <w:shd w:fill="FFFFFF"/>
            <w:tcMar>
              <w:top w:w="100" w:type="dxa"/>
              <w:start w:w="110" w:type="dxa"/>
              <w:bottom w:w="100" w:type="dxa"/>
              <w:end w:w="110" w:type="dxa"/>
            </w:tcMar>
          </w:tcPr>
          <w:p>
            <w:pPr>
              <w:spacing w:after="20"/>
            </w:pPr>
            <w:r>
              <w:rPr>
                <w:sz w:val="17"/>
              </w:rPr>
              <w:t>INV 09</w:t>
            </w:r>
          </w:p>
        </w:tc>
        <w:tc>
          <w:tcPr>
            <w:tcW w:type="dxa" w:w="5256"/>
            <w:vAlign w:val="center"/>
            <w:shd w:fill="FFFFFF"/>
            <w:tcMar>
              <w:top w:w="100" w:type="dxa"/>
              <w:start w:w="110" w:type="dxa"/>
              <w:bottom w:w="100" w:type="dxa"/>
              <w:end w:w="110" w:type="dxa"/>
            </w:tcMar>
          </w:tcPr>
          <w:p>
            <w:pPr>
              <w:spacing w:after="20"/>
            </w:pPr>
            <w:r>
              <w:rPr>
                <w:sz w:val="17"/>
              </w:rPr>
              <w:t>A retry cannot create a duplicate business outcome.</w:t>
            </w:r>
          </w:p>
        </w:tc>
        <w:tc>
          <w:tcPr>
            <w:tcW w:type="dxa" w:w="2736"/>
            <w:vAlign w:val="center"/>
            <w:shd w:fill="FFFFFF"/>
            <w:tcMar>
              <w:top w:w="100" w:type="dxa"/>
              <w:start w:w="110" w:type="dxa"/>
              <w:bottom w:w="100" w:type="dxa"/>
              <w:end w:w="110" w:type="dxa"/>
            </w:tcMar>
          </w:tcPr>
          <w:p>
            <w:pPr>
              <w:spacing w:after="20"/>
            </w:pPr>
            <w:r>
              <w:rPr>
                <w:sz w:val="17"/>
              </w:rPr>
              <w:t>Idempotency record and conditional write</w:t>
            </w:r>
          </w:p>
        </w:tc>
      </w:tr>
      <w:tr>
        <w:tc>
          <w:tcPr>
            <w:tcW w:type="dxa" w:w="1080"/>
            <w:vAlign w:val="center"/>
            <w:shd w:fill="EDF3F8"/>
            <w:tcMar>
              <w:top w:w="100" w:type="dxa"/>
              <w:start w:w="110" w:type="dxa"/>
              <w:bottom w:w="100" w:type="dxa"/>
              <w:end w:w="110" w:type="dxa"/>
            </w:tcMar>
          </w:tcPr>
          <w:p>
            <w:pPr>
              <w:spacing w:after="20"/>
            </w:pPr>
            <w:r>
              <w:rPr>
                <w:sz w:val="17"/>
              </w:rPr>
              <w:t>INV 10</w:t>
            </w:r>
          </w:p>
        </w:tc>
        <w:tc>
          <w:tcPr>
            <w:tcW w:type="dxa" w:w="5256"/>
            <w:vAlign w:val="center"/>
            <w:shd w:fill="EDF3F8"/>
            <w:tcMar>
              <w:top w:w="100" w:type="dxa"/>
              <w:start w:w="110" w:type="dxa"/>
              <w:bottom w:w="100" w:type="dxa"/>
              <w:end w:w="110" w:type="dxa"/>
            </w:tcMar>
          </w:tcPr>
          <w:p>
            <w:pPr>
              <w:spacing w:after="20"/>
            </w:pPr>
            <w:r>
              <w:rPr>
                <w:sz w:val="17"/>
              </w:rPr>
              <w:t>Critical production data survives ordinary stack replacement or deletion.</w:t>
            </w:r>
          </w:p>
        </w:tc>
        <w:tc>
          <w:tcPr>
            <w:tcW w:type="dxa" w:w="2736"/>
            <w:vAlign w:val="center"/>
            <w:shd w:fill="EDF3F8"/>
            <w:tcMar>
              <w:top w:w="100" w:type="dxa"/>
              <w:start w:w="110" w:type="dxa"/>
              <w:bottom w:w="100" w:type="dxa"/>
              <w:end w:w="110" w:type="dxa"/>
            </w:tcMar>
          </w:tcPr>
          <w:p>
            <w:pPr>
              <w:spacing w:after="20"/>
            </w:pPr>
            <w:r>
              <w:rPr>
                <w:sz w:val="17"/>
              </w:rPr>
              <w:t>Retention, backup and restore controls</w:t>
            </w:r>
          </w:p>
        </w:tc>
      </w:tr>
      <w:tr>
        <w:tc>
          <w:tcPr>
            <w:tcW w:type="dxa" w:w="1080"/>
            <w:vAlign w:val="center"/>
            <w:shd w:fill="FFFFFF"/>
            <w:tcMar>
              <w:top w:w="100" w:type="dxa"/>
              <w:start w:w="110" w:type="dxa"/>
              <w:bottom w:w="100" w:type="dxa"/>
              <w:end w:w="110" w:type="dxa"/>
            </w:tcMar>
          </w:tcPr>
          <w:p>
            <w:pPr>
              <w:spacing w:after="20"/>
            </w:pPr>
            <w:r>
              <w:rPr>
                <w:sz w:val="17"/>
              </w:rPr>
              <w:t>INV 11</w:t>
            </w:r>
          </w:p>
        </w:tc>
        <w:tc>
          <w:tcPr>
            <w:tcW w:type="dxa" w:w="5256"/>
            <w:vAlign w:val="center"/>
            <w:shd w:fill="FFFFFF"/>
            <w:tcMar>
              <w:top w:w="100" w:type="dxa"/>
              <w:start w:w="110" w:type="dxa"/>
              <w:bottom w:w="100" w:type="dxa"/>
              <w:end w:w="110" w:type="dxa"/>
            </w:tcMar>
          </w:tcPr>
          <w:p>
            <w:pPr>
              <w:spacing w:after="20"/>
            </w:pPr>
            <w:r>
              <w:rPr>
                <w:sz w:val="17"/>
              </w:rPr>
              <w:t>Every governed response can be traced to its model, prompt, guardrail and data configuration.</w:t>
            </w:r>
          </w:p>
        </w:tc>
        <w:tc>
          <w:tcPr>
            <w:tcW w:type="dxa" w:w="2736"/>
            <w:vAlign w:val="center"/>
            <w:shd w:fill="FFFFFF"/>
            <w:tcMar>
              <w:top w:w="100" w:type="dxa"/>
              <w:start w:w="110" w:type="dxa"/>
              <w:bottom w:w="100" w:type="dxa"/>
              <w:end w:w="110" w:type="dxa"/>
            </w:tcMar>
          </w:tcPr>
          <w:p>
            <w:pPr>
              <w:spacing w:after="20"/>
            </w:pPr>
            <w:r>
              <w:rPr>
                <w:sz w:val="17"/>
              </w:rPr>
              <w:t>Evidence record</w:t>
            </w:r>
          </w:p>
        </w:tc>
      </w:tr>
      <w:tr>
        <w:tc>
          <w:tcPr>
            <w:tcW w:type="dxa" w:w="1080"/>
            <w:vAlign w:val="center"/>
            <w:shd w:fill="EDF3F8"/>
            <w:tcMar>
              <w:top w:w="100" w:type="dxa"/>
              <w:start w:w="110" w:type="dxa"/>
              <w:bottom w:w="100" w:type="dxa"/>
              <w:end w:w="110" w:type="dxa"/>
            </w:tcMar>
          </w:tcPr>
          <w:p>
            <w:pPr>
              <w:spacing w:after="20"/>
            </w:pPr>
            <w:r>
              <w:rPr>
                <w:sz w:val="17"/>
              </w:rPr>
              <w:t>INV 12</w:t>
            </w:r>
          </w:p>
        </w:tc>
        <w:tc>
          <w:tcPr>
            <w:tcW w:type="dxa" w:w="5256"/>
            <w:vAlign w:val="center"/>
            <w:shd w:fill="EDF3F8"/>
            <w:tcMar>
              <w:top w:w="100" w:type="dxa"/>
              <w:start w:w="110" w:type="dxa"/>
              <w:bottom w:w="100" w:type="dxa"/>
              <w:end w:w="110" w:type="dxa"/>
            </w:tcMar>
          </w:tcPr>
          <w:p>
            <w:pPr>
              <w:spacing w:after="20"/>
            </w:pPr>
            <w:r>
              <w:rPr>
                <w:sz w:val="17"/>
              </w:rPr>
              <w:t>If authorization, grounding or a required safety control is unavailable, the operation fails safely.</w:t>
            </w:r>
          </w:p>
        </w:tc>
        <w:tc>
          <w:tcPr>
            <w:tcW w:type="dxa" w:w="2736"/>
            <w:vAlign w:val="center"/>
            <w:shd w:fill="EDF3F8"/>
            <w:tcMar>
              <w:top w:w="100" w:type="dxa"/>
              <w:start w:w="110" w:type="dxa"/>
              <w:bottom w:w="100" w:type="dxa"/>
              <w:end w:w="110" w:type="dxa"/>
            </w:tcMar>
          </w:tcPr>
          <w:p>
            <w:pPr>
              <w:spacing w:after="20"/>
            </w:pPr>
            <w:r>
              <w:rPr>
                <w:sz w:val="17"/>
              </w:rPr>
              <w:t>Fail-closed policy</w:t>
            </w:r>
          </w:p>
        </w:tc>
      </w:tr>
    </w:tbl>
    <w:p>
      <w:pPr>
        <w:spacing w:after="20"/>
      </w:pPr>
    </w:p>
    <w:p>
      <w:pPr>
        <w:pStyle w:val="Heading1"/>
      </w:pPr>
      <w:r>
        <w:t>4 Contract first design</w:t>
      </w:r>
    </w:p>
    <w:p>
      <w:pPr>
        <w:pStyle w:val="Heading2"/>
      </w:pPr>
      <w:r>
        <w:t>4.1 Contract hierarchy</w:t>
      </w:r>
    </w:p>
    <w:p>
      <w:r>
        <w:t>The business contract defines the outcome and authority boundary. Each use-case contract narrows permitted input, output and evidence. API, retrieval, model and tool contracts make those obligations testable. Operational contracts then define service levels and recovery behavior.</w:t>
      </w:r>
    </w:p>
    <w:p>
      <w:pPr>
        <w:pStyle w:val="ListNumber"/>
      </w:pPr>
      <w:r>
        <w:t>Business contract defines purpose, actors, protected data and approval responsibility.</w:t>
      </w:r>
    </w:p>
    <w:p>
      <w:pPr>
        <w:pStyle w:val="ListNumber"/>
      </w:pPr>
      <w:r>
        <w:t>Use-case contract defines input, output, preconditions, failure states and evidence.</w:t>
      </w:r>
    </w:p>
    <w:p>
      <w:pPr>
        <w:pStyle w:val="ListNumber"/>
      </w:pPr>
      <w:r>
        <w:t>API contract defines schemas, authentication, status codes and idempotency.</w:t>
      </w:r>
    </w:p>
    <w:p>
      <w:pPr>
        <w:pStyle w:val="ListNumber"/>
      </w:pPr>
      <w:r>
        <w:t>Retrieval contract defines authorized sources, filtering, relevance and citations.</w:t>
      </w:r>
    </w:p>
    <w:p>
      <w:pPr>
        <w:pStyle w:val="ListNumber"/>
      </w:pPr>
      <w:r>
        <w:t>AI output contract defines structure, prohibited decisions and review requirements.</w:t>
      </w:r>
    </w:p>
    <w:p>
      <w:pPr>
        <w:pStyle w:val="ListNumber"/>
      </w:pPr>
      <w:r>
        <w:t>Tool contract defines permissions, limits, approval and audit fields.</w:t>
      </w:r>
    </w:p>
    <w:p>
      <w:pPr>
        <w:pStyle w:val="ListNumber"/>
      </w:pPr>
      <w:r>
        <w:t>Operational contract defines latency, availability, recovery and cost thresholds.</w:t>
      </w:r>
    </w:p>
    <w:p>
      <w:pPr>
        <w:pStyle w:val="Heading2"/>
      </w:pPr>
      <w:r>
        <w:t>4.2 Grounded chat use-case contract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7365D"/>
            <w:vAlign w:val="center"/>
            <w:tcMar>
              <w:top w:w="100" w:type="dxa"/>
              <w:start w:w="110" w:type="dxa"/>
              <w:bottom w:w="100" w:type="dxa"/>
              <w:end w:w="110" w:type="dxa"/>
            </w:tcMar>
          </w:tcPr>
          <w:p>
            <w:r>
              <w:rPr>
                <w:b/>
                <w:color w:val="FFFFFF"/>
                <w:sz w:val="18"/>
              </w:rPr>
              <w:t>Contract element</w:t>
            </w:r>
          </w:p>
        </w:tc>
        <w:tc>
          <w:tcPr>
            <w:tcW w:type="dxa" w:w="6984"/>
            <w:shd w:fill="17365D"/>
            <w:vAlign w:val="center"/>
            <w:tcMar>
              <w:top w:w="100" w:type="dxa"/>
              <w:start w:w="110" w:type="dxa"/>
              <w:bottom w:w="100" w:type="dxa"/>
              <w:end w:w="110" w:type="dxa"/>
            </w:tcMar>
          </w:tcPr>
          <w:p>
            <w:r>
              <w:rPr>
                <w:b/>
                <w:color w:val="FFFFFF"/>
                <w:sz w:val="18"/>
              </w:rPr>
              <w:t>Definition</w:t>
            </w:r>
          </w:p>
        </w:tc>
      </w:tr>
      <w:tr>
        <w:tc>
          <w:tcPr>
            <w:tcW w:type="dxa" w:w="2088"/>
            <w:vAlign w:val="center"/>
            <w:shd w:fill="FFFFFF"/>
            <w:tcMar>
              <w:top w:w="100" w:type="dxa"/>
              <w:start w:w="110" w:type="dxa"/>
              <w:bottom w:w="100" w:type="dxa"/>
              <w:end w:w="110" w:type="dxa"/>
            </w:tcMar>
          </w:tcPr>
          <w:p>
            <w:pPr>
              <w:spacing w:after="20"/>
            </w:pPr>
            <w:r>
              <w:rPr>
                <w:sz w:val="17"/>
              </w:rPr>
              <w:t>Purpose</w:t>
            </w:r>
          </w:p>
        </w:tc>
        <w:tc>
          <w:tcPr>
            <w:tcW w:type="dxa" w:w="6984"/>
            <w:vAlign w:val="center"/>
            <w:shd w:fill="FFFFFF"/>
            <w:tcMar>
              <w:top w:w="100" w:type="dxa"/>
              <w:start w:w="110" w:type="dxa"/>
              <w:bottom w:w="100" w:type="dxa"/>
              <w:end w:w="110" w:type="dxa"/>
            </w:tcMar>
          </w:tcPr>
          <w:p>
            <w:pPr>
              <w:spacing w:after="20"/>
            </w:pPr>
            <w:r>
              <w:rPr>
                <w:sz w:val="17"/>
              </w:rPr>
              <w:t>Answer an authenticated user's question using authorized organizational knowledge.</w:t>
            </w:r>
          </w:p>
        </w:tc>
      </w:tr>
      <w:tr>
        <w:tc>
          <w:tcPr>
            <w:tcW w:type="dxa" w:w="2088"/>
            <w:vAlign w:val="center"/>
            <w:shd w:fill="EDF3F8"/>
            <w:tcMar>
              <w:top w:w="100" w:type="dxa"/>
              <w:start w:w="110" w:type="dxa"/>
              <w:bottom w:w="100" w:type="dxa"/>
              <w:end w:w="110" w:type="dxa"/>
            </w:tcMar>
          </w:tcPr>
          <w:p>
            <w:pPr>
              <w:spacing w:after="20"/>
            </w:pPr>
            <w:r>
              <w:rPr>
                <w:sz w:val="17"/>
              </w:rPr>
              <w:t>Input</w:t>
            </w:r>
          </w:p>
        </w:tc>
        <w:tc>
          <w:tcPr>
            <w:tcW w:type="dxa" w:w="6984"/>
            <w:vAlign w:val="center"/>
            <w:shd w:fill="EDF3F8"/>
            <w:tcMar>
              <w:top w:w="100" w:type="dxa"/>
              <w:start w:w="110" w:type="dxa"/>
              <w:bottom w:w="100" w:type="dxa"/>
              <w:end w:w="110" w:type="dxa"/>
            </w:tcMar>
          </w:tcPr>
          <w:p>
            <w:pPr>
              <w:spacing w:after="20"/>
            </w:pPr>
            <w:r>
              <w:rPr>
                <w:sz w:val="17"/>
              </w:rPr>
              <w:t>Question from 1 to 4,000 characters, selected approved model and use-case version.</w:t>
            </w:r>
          </w:p>
        </w:tc>
      </w:tr>
      <w:tr>
        <w:tc>
          <w:tcPr>
            <w:tcW w:type="dxa" w:w="2088"/>
            <w:vAlign w:val="center"/>
            <w:shd w:fill="FFFFFF"/>
            <w:tcMar>
              <w:top w:w="100" w:type="dxa"/>
              <w:start w:w="110" w:type="dxa"/>
              <w:bottom w:w="100" w:type="dxa"/>
              <w:end w:w="110" w:type="dxa"/>
            </w:tcMar>
          </w:tcPr>
          <w:p>
            <w:pPr>
              <w:spacing w:after="20"/>
            </w:pPr>
            <w:r>
              <w:rPr>
                <w:sz w:val="17"/>
              </w:rPr>
              <w:t>Preconditions</w:t>
            </w:r>
          </w:p>
        </w:tc>
        <w:tc>
          <w:tcPr>
            <w:tcW w:type="dxa" w:w="6984"/>
            <w:vAlign w:val="center"/>
            <w:shd w:fill="FFFFFF"/>
            <w:tcMar>
              <w:top w:w="100" w:type="dxa"/>
              <w:start w:w="110" w:type="dxa"/>
              <w:bottom w:w="100" w:type="dxa"/>
              <w:end w:w="110" w:type="dxa"/>
            </w:tcMar>
          </w:tcPr>
          <w:p>
            <w:pPr>
              <w:spacing w:after="20"/>
            </w:pPr>
            <w:r>
              <w:rPr>
                <w:sz w:val="17"/>
              </w:rPr>
              <w:t>Identity valid; use case enabled; model approved; knowledge service available; access scope resolved.</w:t>
            </w:r>
          </w:p>
        </w:tc>
      </w:tr>
      <w:tr>
        <w:tc>
          <w:tcPr>
            <w:tcW w:type="dxa" w:w="2088"/>
            <w:vAlign w:val="center"/>
            <w:shd w:fill="EDF3F8"/>
            <w:tcMar>
              <w:top w:w="100" w:type="dxa"/>
              <w:start w:w="110" w:type="dxa"/>
              <w:bottom w:w="100" w:type="dxa"/>
              <w:end w:w="110" w:type="dxa"/>
            </w:tcMar>
          </w:tcPr>
          <w:p>
            <w:pPr>
              <w:spacing w:after="20"/>
            </w:pPr>
            <w:r>
              <w:rPr>
                <w:sz w:val="17"/>
              </w:rPr>
              <w:t>Success</w:t>
            </w:r>
          </w:p>
        </w:tc>
        <w:tc>
          <w:tcPr>
            <w:tcW w:type="dxa" w:w="6984"/>
            <w:vAlign w:val="center"/>
            <w:shd w:fill="EDF3F8"/>
            <w:tcMar>
              <w:top w:w="100" w:type="dxa"/>
              <w:start w:w="110" w:type="dxa"/>
              <w:bottom w:w="100" w:type="dxa"/>
              <w:end w:w="110" w:type="dxa"/>
            </w:tcMar>
          </w:tcPr>
          <w:p>
            <w:pPr>
              <w:spacing w:after="20"/>
            </w:pPr>
            <w:r>
              <w:rPr>
                <w:sz w:val="17"/>
              </w:rPr>
              <w:t>Answer, citations, request identifier, model identifier, prompt version and usage metadata.</w:t>
            </w:r>
          </w:p>
        </w:tc>
      </w:tr>
      <w:tr>
        <w:tc>
          <w:tcPr>
            <w:tcW w:type="dxa" w:w="2088"/>
            <w:vAlign w:val="center"/>
            <w:shd w:fill="FFFFFF"/>
            <w:tcMar>
              <w:top w:w="100" w:type="dxa"/>
              <w:start w:w="110" w:type="dxa"/>
              <w:bottom w:w="100" w:type="dxa"/>
              <w:end w:w="110" w:type="dxa"/>
            </w:tcMar>
          </w:tcPr>
          <w:p>
            <w:pPr>
              <w:spacing w:after="20"/>
            </w:pPr>
            <w:r>
              <w:rPr>
                <w:sz w:val="17"/>
              </w:rPr>
              <w:t>Failure states</w:t>
            </w:r>
          </w:p>
        </w:tc>
        <w:tc>
          <w:tcPr>
            <w:tcW w:type="dxa" w:w="6984"/>
            <w:vAlign w:val="center"/>
            <w:shd w:fill="FFFFFF"/>
            <w:tcMar>
              <w:top w:w="100" w:type="dxa"/>
              <w:start w:w="110" w:type="dxa"/>
              <w:bottom w:w="100" w:type="dxa"/>
              <w:end w:w="110" w:type="dxa"/>
            </w:tcMar>
          </w:tcPr>
          <w:p>
            <w:pPr>
              <w:spacing w:after="20"/>
            </w:pPr>
            <w:r>
              <w:rPr>
                <w:sz w:val="17"/>
              </w:rPr>
              <w:t>Unauthorized, insufficient evidence, safety blocked, throttled, validation failed or service unavailable.</w:t>
            </w:r>
          </w:p>
        </w:tc>
      </w:tr>
      <w:tr>
        <w:tc>
          <w:tcPr>
            <w:tcW w:type="dxa" w:w="2088"/>
            <w:vAlign w:val="center"/>
            <w:shd w:fill="EDF3F8"/>
            <w:tcMar>
              <w:top w:w="100" w:type="dxa"/>
              <w:start w:w="110" w:type="dxa"/>
              <w:bottom w:w="100" w:type="dxa"/>
              <w:end w:w="110" w:type="dxa"/>
            </w:tcMar>
          </w:tcPr>
          <w:p>
            <w:pPr>
              <w:spacing w:after="20"/>
            </w:pPr>
            <w:r>
              <w:rPr>
                <w:sz w:val="17"/>
              </w:rPr>
              <w:t>Postcondition</w:t>
            </w:r>
          </w:p>
        </w:tc>
        <w:tc>
          <w:tcPr>
            <w:tcW w:type="dxa" w:w="6984"/>
            <w:vAlign w:val="center"/>
            <w:shd w:fill="EDF3F8"/>
            <w:tcMar>
              <w:top w:w="100" w:type="dxa"/>
              <w:start w:w="110" w:type="dxa"/>
              <w:bottom w:w="100" w:type="dxa"/>
              <w:end w:w="110" w:type="dxa"/>
            </w:tcMar>
          </w:tcPr>
          <w:p>
            <w:pPr>
              <w:spacing w:after="20"/>
            </w:pPr>
            <w:r>
              <w:rPr>
                <w:sz w:val="17"/>
              </w:rPr>
              <w:t>The response and evidence status are recorded without exposing prohibited content.</w:t>
            </w:r>
          </w:p>
        </w:tc>
      </w:tr>
      <w:tr>
        <w:tc>
          <w:tcPr>
            <w:tcW w:type="dxa" w:w="2088"/>
            <w:vAlign w:val="center"/>
            <w:shd w:fill="FFFFFF"/>
            <w:tcMar>
              <w:top w:w="100" w:type="dxa"/>
              <w:start w:w="110" w:type="dxa"/>
              <w:bottom w:w="100" w:type="dxa"/>
              <w:end w:w="110" w:type="dxa"/>
            </w:tcMar>
          </w:tcPr>
          <w:p>
            <w:pPr>
              <w:spacing w:after="20"/>
            </w:pPr>
            <w:r>
              <w:rPr>
                <w:sz w:val="17"/>
              </w:rPr>
              <w:t>Human responsibility</w:t>
            </w:r>
          </w:p>
        </w:tc>
        <w:tc>
          <w:tcPr>
            <w:tcW w:type="dxa" w:w="6984"/>
            <w:vAlign w:val="center"/>
            <w:shd w:fill="FFFFFF"/>
            <w:tcMar>
              <w:top w:w="100" w:type="dxa"/>
              <w:start w:w="110" w:type="dxa"/>
              <w:bottom w:w="100" w:type="dxa"/>
              <w:end w:w="110" w:type="dxa"/>
            </w:tcMar>
          </w:tcPr>
          <w:p>
            <w:pPr>
              <w:spacing w:after="20"/>
            </w:pPr>
            <w:r>
              <w:rPr>
                <w:sz w:val="17"/>
              </w:rPr>
              <w:t>The user verifies material claims before consequential use.</w:t>
            </w:r>
          </w:p>
        </w:tc>
      </w:tr>
    </w:tbl>
    <w:p>
      <w:pPr>
        <w:spacing w:after="20"/>
      </w:pPr>
    </w:p>
    <w:p>
      <w:pPr>
        <w:pStyle w:val="Heading2"/>
      </w:pPr>
      <w:r>
        <w:t>4.3 AI output contract</w:t>
      </w:r>
    </w:p>
    <w:p>
      <w:r>
        <w:t>A structured response should contain the answer, citations, limitations, model identity, prompt version and human-review flag. Citations must refer to passage identifiers returned by the retrieval service. The model cannot set authorization decisions, approval state or official audit fields. Invalid output receives a validation-failed status rather than silent repair when the field affects a consequential decision.</w:t>
      </w:r>
    </w:p>
    <w:p>
      <w:pPr>
        <w:pStyle w:val="Heading2"/>
      </w:pPr>
      <w:r>
        <w:t>4.4 Agent tool contract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17365D"/>
            <w:vAlign w:val="center"/>
            <w:tcMar>
              <w:top w:w="100" w:type="dxa"/>
              <w:start w:w="110" w:type="dxa"/>
              <w:bottom w:w="100" w:type="dxa"/>
              <w:end w:w="110" w:type="dxa"/>
            </w:tcMar>
          </w:tcPr>
          <w:p>
            <w:r>
              <w:rPr>
                <w:b/>
                <w:color w:val="FFFFFF"/>
                <w:sz w:val="18"/>
              </w:rPr>
              <w:t>Field</w:t>
            </w:r>
          </w:p>
        </w:tc>
        <w:tc>
          <w:tcPr>
            <w:tcW w:type="dxa" w:w="6912"/>
            <w:shd w:fill="17365D"/>
            <w:vAlign w:val="center"/>
            <w:tcMar>
              <w:top w:w="100" w:type="dxa"/>
              <w:start w:w="110" w:type="dxa"/>
              <w:bottom w:w="100" w:type="dxa"/>
              <w:end w:w="110" w:type="dxa"/>
            </w:tcMar>
          </w:tcPr>
          <w:p>
            <w:r>
              <w:rPr>
                <w:b/>
                <w:color w:val="FFFFFF"/>
                <w:sz w:val="18"/>
              </w:rPr>
              <w:t>Required definition</w:t>
            </w:r>
          </w:p>
        </w:tc>
      </w:tr>
      <w:tr>
        <w:tc>
          <w:tcPr>
            <w:tcW w:type="dxa" w:w="2160"/>
            <w:vAlign w:val="center"/>
            <w:shd w:fill="FFFFFF"/>
            <w:tcMar>
              <w:top w:w="100" w:type="dxa"/>
              <w:start w:w="110" w:type="dxa"/>
              <w:bottom w:w="100" w:type="dxa"/>
              <w:end w:w="110" w:type="dxa"/>
            </w:tcMar>
          </w:tcPr>
          <w:p>
            <w:pPr>
              <w:spacing w:after="20"/>
            </w:pPr>
            <w:r>
              <w:rPr>
                <w:sz w:val="17"/>
              </w:rPr>
              <w:t>Identity</w:t>
            </w:r>
          </w:p>
        </w:tc>
        <w:tc>
          <w:tcPr>
            <w:tcW w:type="dxa" w:w="6912"/>
            <w:vAlign w:val="center"/>
            <w:shd w:fill="FFFFFF"/>
            <w:tcMar>
              <w:top w:w="100" w:type="dxa"/>
              <w:start w:w="110" w:type="dxa"/>
              <w:bottom w:w="100" w:type="dxa"/>
              <w:end w:w="110" w:type="dxa"/>
            </w:tcMar>
          </w:tcPr>
          <w:p>
            <w:pPr>
              <w:spacing w:after="20"/>
            </w:pPr>
            <w:r>
              <w:rPr>
                <w:sz w:val="17"/>
              </w:rPr>
              <w:t>Calling user, agent and session</w:t>
            </w:r>
          </w:p>
        </w:tc>
      </w:tr>
      <w:tr>
        <w:tc>
          <w:tcPr>
            <w:tcW w:type="dxa" w:w="2160"/>
            <w:vAlign w:val="center"/>
            <w:shd w:fill="EDF3F8"/>
            <w:tcMar>
              <w:top w:w="100" w:type="dxa"/>
              <w:start w:w="110" w:type="dxa"/>
              <w:bottom w:w="100" w:type="dxa"/>
              <w:end w:w="110" w:type="dxa"/>
            </w:tcMar>
          </w:tcPr>
          <w:p>
            <w:pPr>
              <w:spacing w:after="20"/>
            </w:pPr>
            <w:r>
              <w:rPr>
                <w:sz w:val="17"/>
              </w:rPr>
              <w:t>Authorization</w:t>
            </w:r>
          </w:p>
        </w:tc>
        <w:tc>
          <w:tcPr>
            <w:tcW w:type="dxa" w:w="6912"/>
            <w:vAlign w:val="center"/>
            <w:shd w:fill="EDF3F8"/>
            <w:tcMar>
              <w:top w:w="100" w:type="dxa"/>
              <w:start w:w="110" w:type="dxa"/>
              <w:bottom w:w="100" w:type="dxa"/>
              <w:end w:w="110" w:type="dxa"/>
            </w:tcMar>
          </w:tcPr>
          <w:p>
            <w:pPr>
              <w:spacing w:after="20"/>
            </w:pPr>
            <w:r>
              <w:rPr>
                <w:sz w:val="17"/>
              </w:rPr>
              <w:t>Required scope and deterministic enforcing service</w:t>
            </w:r>
          </w:p>
        </w:tc>
      </w:tr>
      <w:tr>
        <w:tc>
          <w:tcPr>
            <w:tcW w:type="dxa" w:w="2160"/>
            <w:vAlign w:val="center"/>
            <w:shd w:fill="FFFFFF"/>
            <w:tcMar>
              <w:top w:w="100" w:type="dxa"/>
              <w:start w:w="110" w:type="dxa"/>
              <w:bottom w:w="100" w:type="dxa"/>
              <w:end w:w="110" w:type="dxa"/>
            </w:tcMar>
          </w:tcPr>
          <w:p>
            <w:pPr>
              <w:spacing w:after="20"/>
            </w:pPr>
            <w:r>
              <w:rPr>
                <w:sz w:val="17"/>
              </w:rPr>
              <w:t>Input</w:t>
            </w:r>
          </w:p>
        </w:tc>
        <w:tc>
          <w:tcPr>
            <w:tcW w:type="dxa" w:w="6912"/>
            <w:vAlign w:val="center"/>
            <w:shd w:fill="FFFFFF"/>
            <w:tcMar>
              <w:top w:w="100" w:type="dxa"/>
              <w:start w:w="110" w:type="dxa"/>
              <w:bottom w:w="100" w:type="dxa"/>
              <w:end w:w="110" w:type="dxa"/>
            </w:tcMar>
          </w:tcPr>
          <w:p>
            <w:pPr>
              <w:spacing w:after="20"/>
            </w:pPr>
            <w:r>
              <w:rPr>
                <w:sz w:val="17"/>
              </w:rPr>
              <w:t>Typed schema, length limits and prohibited values</w:t>
            </w:r>
          </w:p>
        </w:tc>
      </w:tr>
      <w:tr>
        <w:tc>
          <w:tcPr>
            <w:tcW w:type="dxa" w:w="2160"/>
            <w:vAlign w:val="center"/>
            <w:shd w:fill="EDF3F8"/>
            <w:tcMar>
              <w:top w:w="100" w:type="dxa"/>
              <w:start w:w="110" w:type="dxa"/>
              <w:bottom w:w="100" w:type="dxa"/>
              <w:end w:w="110" w:type="dxa"/>
            </w:tcMar>
          </w:tcPr>
          <w:p>
            <w:pPr>
              <w:spacing w:after="20"/>
            </w:pPr>
            <w:r>
              <w:rPr>
                <w:sz w:val="17"/>
              </w:rPr>
              <w:t>Execution limits</w:t>
            </w:r>
          </w:p>
        </w:tc>
        <w:tc>
          <w:tcPr>
            <w:tcW w:type="dxa" w:w="6912"/>
            <w:vAlign w:val="center"/>
            <w:shd w:fill="EDF3F8"/>
            <w:tcMar>
              <w:top w:w="100" w:type="dxa"/>
              <w:start w:w="110" w:type="dxa"/>
              <w:bottom w:w="100" w:type="dxa"/>
              <w:end w:w="110" w:type="dxa"/>
            </w:tcMar>
          </w:tcPr>
          <w:p>
            <w:pPr>
              <w:spacing w:after="20"/>
            </w:pPr>
            <w:r>
              <w:rPr>
                <w:sz w:val="17"/>
              </w:rPr>
              <w:t>Timeout, maximum calls, retries, token and cost budget</w:t>
            </w:r>
          </w:p>
        </w:tc>
      </w:tr>
      <w:tr>
        <w:tc>
          <w:tcPr>
            <w:tcW w:type="dxa" w:w="2160"/>
            <w:vAlign w:val="center"/>
            <w:shd w:fill="FFFFFF"/>
            <w:tcMar>
              <w:top w:w="100" w:type="dxa"/>
              <w:start w:w="110" w:type="dxa"/>
              <w:bottom w:w="100" w:type="dxa"/>
              <w:end w:w="110" w:type="dxa"/>
            </w:tcMar>
          </w:tcPr>
          <w:p>
            <w:pPr>
              <w:spacing w:after="20"/>
            </w:pPr>
            <w:r>
              <w:rPr>
                <w:sz w:val="17"/>
              </w:rPr>
              <w:t>Approval</w:t>
            </w:r>
          </w:p>
        </w:tc>
        <w:tc>
          <w:tcPr>
            <w:tcW w:type="dxa" w:w="6912"/>
            <w:vAlign w:val="center"/>
            <w:shd w:fill="FFFFFF"/>
            <w:tcMar>
              <w:top w:w="100" w:type="dxa"/>
              <w:start w:w="110" w:type="dxa"/>
              <w:bottom w:w="100" w:type="dxa"/>
              <w:end w:w="110" w:type="dxa"/>
            </w:tcMar>
          </w:tcPr>
          <w:p>
            <w:pPr>
              <w:spacing w:after="20"/>
            </w:pPr>
            <w:r>
              <w:rPr>
                <w:sz w:val="17"/>
              </w:rPr>
              <w:t>Risk class and human approval requirement</w:t>
            </w:r>
          </w:p>
        </w:tc>
      </w:tr>
      <w:tr>
        <w:tc>
          <w:tcPr>
            <w:tcW w:type="dxa" w:w="2160"/>
            <w:vAlign w:val="center"/>
            <w:shd w:fill="EDF3F8"/>
            <w:tcMar>
              <w:top w:w="100" w:type="dxa"/>
              <w:start w:w="110" w:type="dxa"/>
              <w:bottom w:w="100" w:type="dxa"/>
              <w:end w:w="110" w:type="dxa"/>
            </w:tcMar>
          </w:tcPr>
          <w:p>
            <w:pPr>
              <w:spacing w:after="20"/>
            </w:pPr>
            <w:r>
              <w:rPr>
                <w:sz w:val="17"/>
              </w:rPr>
              <w:t>Output</w:t>
            </w:r>
          </w:p>
        </w:tc>
        <w:tc>
          <w:tcPr>
            <w:tcW w:type="dxa" w:w="6912"/>
            <w:vAlign w:val="center"/>
            <w:shd w:fill="EDF3F8"/>
            <w:tcMar>
              <w:top w:w="100" w:type="dxa"/>
              <w:start w:w="110" w:type="dxa"/>
              <w:bottom w:w="100" w:type="dxa"/>
              <w:end w:w="110" w:type="dxa"/>
            </w:tcMar>
          </w:tcPr>
          <w:p>
            <w:pPr>
              <w:spacing w:after="20"/>
            </w:pPr>
            <w:r>
              <w:rPr>
                <w:sz w:val="17"/>
              </w:rPr>
              <w:t>Typed result and verification rule</w:t>
            </w:r>
          </w:p>
        </w:tc>
      </w:tr>
      <w:tr>
        <w:tc>
          <w:tcPr>
            <w:tcW w:type="dxa" w:w="2160"/>
            <w:vAlign w:val="center"/>
            <w:shd w:fill="FFFFFF"/>
            <w:tcMar>
              <w:top w:w="100" w:type="dxa"/>
              <w:start w:w="110" w:type="dxa"/>
              <w:bottom w:w="100" w:type="dxa"/>
              <w:end w:w="110" w:type="dxa"/>
            </w:tcMar>
          </w:tcPr>
          <w:p>
            <w:pPr>
              <w:spacing w:after="20"/>
            </w:pPr>
            <w:r>
              <w:rPr>
                <w:sz w:val="17"/>
              </w:rPr>
              <w:t>Audit</w:t>
            </w:r>
          </w:p>
        </w:tc>
        <w:tc>
          <w:tcPr>
            <w:tcW w:type="dxa" w:w="6912"/>
            <w:vAlign w:val="center"/>
            <w:shd w:fill="FFFFFF"/>
            <w:tcMar>
              <w:top w:w="100" w:type="dxa"/>
              <w:start w:w="110" w:type="dxa"/>
              <w:bottom w:w="100" w:type="dxa"/>
              <w:end w:w="110" w:type="dxa"/>
            </w:tcMar>
          </w:tcPr>
          <w:p>
            <w:pPr>
              <w:spacing w:after="20"/>
            </w:pPr>
            <w:r>
              <w:rPr>
                <w:sz w:val="17"/>
              </w:rPr>
              <w:t>Actor, tool version, parameter hash, decision, result and duration</w:t>
            </w:r>
          </w:p>
        </w:tc>
      </w:tr>
    </w:tbl>
    <w:p>
      <w:pPr>
        <w:spacing w:after="20"/>
      </w:pPr>
    </w:p>
    <w:p>
      <w:pPr>
        <w:pStyle w:val="Heading1"/>
      </w:pPr>
      <w:r>
        <w:t>5 Improved production architecture</w:t>
      </w:r>
    </w:p>
    <w:p>
      <w:pPr>
        <w:jc w:val="center"/>
      </w:pPr>
      <w:r>
        <w:drawing>
          <wp:inline xmlns:a="http://schemas.openxmlformats.org/drawingml/2006/main" xmlns:pic="http://schemas.openxmlformats.org/drawingml/2006/picture">
            <wp:extent cx="6172200" cy="3473708"/>
            <wp:docPr id="2" name="Picture 2"/>
            <wp:cNvGraphicFramePr>
              <a:graphicFrameLocks noChangeAspect="1"/>
            </wp:cNvGraphicFramePr>
            <a:graphic>
              <a:graphicData uri="http://schemas.openxmlformats.org/drawingml/2006/picture">
                <pic:pic>
                  <pic:nvPicPr>
                    <pic:cNvPr id="0" name="exec-2ce7b9d0-24db-42b0-a660-c017ca7359cd.png"/>
                    <pic:cNvPicPr/>
                  </pic:nvPicPr>
                  <pic:blipFill>
                    <a:blip r:embed="rId9"/>
                    <a:stretch>
                      <a:fillRect/>
                    </a:stretch>
                  </pic:blipFill>
                  <pic:spPr>
                    <a:xfrm>
                      <a:off x="0" y="0"/>
                      <a:ext cx="6172200" cy="3473708"/>
                    </a:xfrm>
                    <a:prstGeom prst="rect"/>
                  </pic:spPr>
                </pic:pic>
              </a:graphicData>
            </a:graphic>
          </wp:inline>
        </w:drawing>
      </w:r>
    </w:p>
    <w:p>
      <w:pPr>
        <w:pStyle w:val="FigureCaption"/>
        <w:jc w:val="center"/>
      </w:pPr>
      <w:r>
        <w:t>Figure 1 Improved production architecture for GenU</w:t>
      </w:r>
    </w:p>
    <w:p>
      <w:pPr>
        <w:pStyle w:val="Heading2"/>
      </w:pPr>
      <w:r>
        <w:t>5.1 Contract enforcement</w:t>
      </w:r>
    </w:p>
    <w:p>
      <w:r>
        <w:t>Each request passes through schema validation, authorization, quota checks and input safety controls before model, retrieval or tool execution. The output then passes through schema and policy validation before it is streamed or stored. This arrangement prevents natural-language instructions from becoming authorization rules.</w:t>
      </w:r>
    </w:p>
    <w:p>
      <w:pPr>
        <w:pStyle w:val="Heading2"/>
      </w:pPr>
      <w:r>
        <w:t>5.2 Governed knowledge ingestion</w:t>
      </w:r>
    </w:p>
    <w:p>
      <w:r>
        <w:t>Documents first enter a quarantine bucket. Automated checks validate format, malware status and prohibited content. A knowledge owner assigns classification, access metadata, validity period and version before approval. Only approved content enters the Knowledge Base data source. Retrieval filters are derived from identity claims rather than supplied by the user.</w:t>
      </w:r>
    </w:p>
    <w:p>
      <w:pPr>
        <w:pStyle w:val="Heading2"/>
      </w:pPr>
      <w:r>
        <w:t>5.3 Reliable asynchronous work</w:t>
      </w:r>
    </w:p>
    <w:p>
      <w:r>
        <w:t>Video generation, transcription, large-document ingestion and long agent research should use an asynchronous job contract. The API creates an idempotency record and queues the work. Workers report explicit states through EventBridge. Exhausted retries move the job to a dead-letter queue. The user sees accepted, queued, processing, completed, failed or cancelled rather than an ambiguous timeout.</w:t>
      </w:r>
    </w:p>
    <w:p>
      <w:pPr>
        <w:pStyle w:val="Heading1"/>
      </w:pPr>
      <w:r>
        <w:t>6 Threat and failure design</w:t>
      </w:r>
    </w:p>
    <w:p>
      <w:pPr>
        <w:pStyle w:val="Heading2"/>
      </w:pPr>
      <w:r>
        <w:t>6.1 Threat model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17365D"/>
            <w:vAlign w:val="center"/>
            <w:tcMar>
              <w:top w:w="100" w:type="dxa"/>
              <w:start w:w="110" w:type="dxa"/>
              <w:bottom w:w="100" w:type="dxa"/>
              <w:end w:w="110" w:type="dxa"/>
            </w:tcMar>
          </w:tcPr>
          <w:p>
            <w:r>
              <w:rPr>
                <w:b/>
                <w:color w:val="FFFFFF"/>
                <w:sz w:val="18"/>
              </w:rPr>
              <w:t>Threat</w:t>
            </w:r>
          </w:p>
        </w:tc>
        <w:tc>
          <w:tcPr>
            <w:tcW w:type="dxa" w:w="3888"/>
            <w:shd w:fill="17365D"/>
            <w:vAlign w:val="center"/>
            <w:tcMar>
              <w:top w:w="100" w:type="dxa"/>
              <w:start w:w="110" w:type="dxa"/>
              <w:bottom w:w="100" w:type="dxa"/>
              <w:end w:w="110" w:type="dxa"/>
            </w:tcMar>
          </w:tcPr>
          <w:p>
            <w:r>
              <w:rPr>
                <w:b/>
                <w:color w:val="FFFFFF"/>
                <w:sz w:val="18"/>
              </w:rPr>
              <w:t>Control boundary</w:t>
            </w:r>
          </w:p>
        </w:tc>
        <w:tc>
          <w:tcPr>
            <w:tcW w:type="dxa" w:w="3024"/>
            <w:shd w:fill="17365D"/>
            <w:vAlign w:val="center"/>
            <w:tcMar>
              <w:top w:w="100" w:type="dxa"/>
              <w:start w:w="110" w:type="dxa"/>
              <w:bottom w:w="100" w:type="dxa"/>
              <w:end w:w="110" w:type="dxa"/>
            </w:tcMar>
          </w:tcPr>
          <w:p>
            <w:r>
              <w:rPr>
                <w:b/>
                <w:color w:val="FFFFFF"/>
                <w:sz w:val="18"/>
              </w:rPr>
              <w:t>Verification evidence</w:t>
            </w:r>
          </w:p>
        </w:tc>
      </w:tr>
      <w:tr>
        <w:tc>
          <w:tcPr>
            <w:tcW w:type="dxa" w:w="2160"/>
            <w:vAlign w:val="center"/>
            <w:shd w:fill="FFFFFF"/>
            <w:tcMar>
              <w:top w:w="100" w:type="dxa"/>
              <w:start w:w="110" w:type="dxa"/>
              <w:bottom w:w="100" w:type="dxa"/>
              <w:end w:w="110" w:type="dxa"/>
            </w:tcMar>
          </w:tcPr>
          <w:p>
            <w:pPr>
              <w:spacing w:after="20"/>
            </w:pPr>
            <w:r>
              <w:rPr>
                <w:sz w:val="17"/>
              </w:rPr>
              <w:t>Prompt injection in user input</w:t>
            </w:r>
          </w:p>
        </w:tc>
        <w:tc>
          <w:tcPr>
            <w:tcW w:type="dxa" w:w="3888"/>
            <w:vAlign w:val="center"/>
            <w:shd w:fill="FFFFFF"/>
            <w:tcMar>
              <w:top w:w="100" w:type="dxa"/>
              <w:start w:w="110" w:type="dxa"/>
              <w:bottom w:w="100" w:type="dxa"/>
              <w:end w:w="110" w:type="dxa"/>
            </w:tcMar>
          </w:tcPr>
          <w:p>
            <w:pPr>
              <w:spacing w:after="20"/>
            </w:pPr>
            <w:r>
              <w:rPr>
                <w:sz w:val="17"/>
              </w:rPr>
              <w:t>Input isolation, tool policy and no implicit trust in retrieved instructions</w:t>
            </w:r>
          </w:p>
        </w:tc>
        <w:tc>
          <w:tcPr>
            <w:tcW w:type="dxa" w:w="3024"/>
            <w:vAlign w:val="center"/>
            <w:shd w:fill="FFFFFF"/>
            <w:tcMar>
              <w:top w:w="100" w:type="dxa"/>
              <w:start w:w="110" w:type="dxa"/>
              <w:bottom w:w="100" w:type="dxa"/>
              <w:end w:w="110" w:type="dxa"/>
            </w:tcMar>
          </w:tcPr>
          <w:p>
            <w:pPr>
              <w:spacing w:after="20"/>
            </w:pPr>
            <w:r>
              <w:rPr>
                <w:sz w:val="17"/>
              </w:rPr>
              <w:t>Adversarial prompt suite</w:t>
            </w:r>
          </w:p>
        </w:tc>
      </w:tr>
      <w:tr>
        <w:tc>
          <w:tcPr>
            <w:tcW w:type="dxa" w:w="2160"/>
            <w:vAlign w:val="center"/>
            <w:shd w:fill="EDF3F8"/>
            <w:tcMar>
              <w:top w:w="100" w:type="dxa"/>
              <w:start w:w="110" w:type="dxa"/>
              <w:bottom w:w="100" w:type="dxa"/>
              <w:end w:w="110" w:type="dxa"/>
            </w:tcMar>
          </w:tcPr>
          <w:p>
            <w:pPr>
              <w:spacing w:after="20"/>
            </w:pPr>
            <w:r>
              <w:rPr>
                <w:sz w:val="17"/>
              </w:rPr>
              <w:t>Knowledge poisoning</w:t>
            </w:r>
          </w:p>
        </w:tc>
        <w:tc>
          <w:tcPr>
            <w:tcW w:type="dxa" w:w="3888"/>
            <w:vAlign w:val="center"/>
            <w:shd w:fill="EDF3F8"/>
            <w:tcMar>
              <w:top w:w="100" w:type="dxa"/>
              <w:start w:w="110" w:type="dxa"/>
              <w:bottom w:w="100" w:type="dxa"/>
              <w:end w:w="110" w:type="dxa"/>
            </w:tcMar>
          </w:tcPr>
          <w:p>
            <w:pPr>
              <w:spacing w:after="20"/>
            </w:pPr>
            <w:r>
              <w:rPr>
                <w:sz w:val="17"/>
              </w:rPr>
              <w:t>Quarantine, source approval, provenance and revocation</w:t>
            </w:r>
          </w:p>
        </w:tc>
        <w:tc>
          <w:tcPr>
            <w:tcW w:type="dxa" w:w="3024"/>
            <w:vAlign w:val="center"/>
            <w:shd w:fill="EDF3F8"/>
            <w:tcMar>
              <w:top w:w="100" w:type="dxa"/>
              <w:start w:w="110" w:type="dxa"/>
              <w:bottom w:w="100" w:type="dxa"/>
              <w:end w:w="110" w:type="dxa"/>
            </w:tcMar>
          </w:tcPr>
          <w:p>
            <w:pPr>
              <w:spacing w:after="20"/>
            </w:pPr>
            <w:r>
              <w:rPr>
                <w:sz w:val="17"/>
              </w:rPr>
              <w:t>Ingestion audit and malicious-document tests</w:t>
            </w:r>
          </w:p>
        </w:tc>
      </w:tr>
      <w:tr>
        <w:tc>
          <w:tcPr>
            <w:tcW w:type="dxa" w:w="2160"/>
            <w:vAlign w:val="center"/>
            <w:shd w:fill="FFFFFF"/>
            <w:tcMar>
              <w:top w:w="100" w:type="dxa"/>
              <w:start w:w="110" w:type="dxa"/>
              <w:bottom w:w="100" w:type="dxa"/>
              <w:end w:w="110" w:type="dxa"/>
            </w:tcMar>
          </w:tcPr>
          <w:p>
            <w:pPr>
              <w:spacing w:after="20"/>
            </w:pPr>
            <w:r>
              <w:rPr>
                <w:sz w:val="17"/>
              </w:rPr>
              <w:t>Cross-user disclosure</w:t>
            </w:r>
          </w:p>
        </w:tc>
        <w:tc>
          <w:tcPr>
            <w:tcW w:type="dxa" w:w="3888"/>
            <w:vAlign w:val="center"/>
            <w:shd w:fill="FFFFFF"/>
            <w:tcMar>
              <w:top w:w="100" w:type="dxa"/>
              <w:start w:w="110" w:type="dxa"/>
              <w:bottom w:w="100" w:type="dxa"/>
              <w:end w:w="110" w:type="dxa"/>
            </w:tcMar>
          </w:tcPr>
          <w:p>
            <w:pPr>
              <w:spacing w:after="20"/>
            </w:pPr>
            <w:r>
              <w:rPr>
                <w:sz w:val="17"/>
              </w:rPr>
              <w:t>Ownership checks and identity-derived metadata filters</w:t>
            </w:r>
          </w:p>
        </w:tc>
        <w:tc>
          <w:tcPr>
            <w:tcW w:type="dxa" w:w="3024"/>
            <w:vAlign w:val="center"/>
            <w:shd w:fill="FFFFFF"/>
            <w:tcMar>
              <w:top w:w="100" w:type="dxa"/>
              <w:start w:w="110" w:type="dxa"/>
              <w:bottom w:w="100" w:type="dxa"/>
              <w:end w:w="110" w:type="dxa"/>
            </w:tcMar>
          </w:tcPr>
          <w:p>
            <w:pPr>
              <w:spacing w:after="20"/>
            </w:pPr>
            <w:r>
              <w:rPr>
                <w:sz w:val="17"/>
              </w:rPr>
              <w:t>Negative authorization tests</w:t>
            </w:r>
          </w:p>
        </w:tc>
      </w:tr>
      <w:tr>
        <w:tc>
          <w:tcPr>
            <w:tcW w:type="dxa" w:w="2160"/>
            <w:vAlign w:val="center"/>
            <w:shd w:fill="EDF3F8"/>
            <w:tcMar>
              <w:top w:w="100" w:type="dxa"/>
              <w:start w:w="110" w:type="dxa"/>
              <w:bottom w:w="100" w:type="dxa"/>
              <w:end w:w="110" w:type="dxa"/>
            </w:tcMar>
          </w:tcPr>
          <w:p>
            <w:pPr>
              <w:spacing w:after="20"/>
            </w:pPr>
            <w:r>
              <w:rPr>
                <w:sz w:val="17"/>
              </w:rPr>
              <w:t>Excessive agent authority</w:t>
            </w:r>
          </w:p>
        </w:tc>
        <w:tc>
          <w:tcPr>
            <w:tcW w:type="dxa" w:w="3888"/>
            <w:vAlign w:val="center"/>
            <w:shd w:fill="EDF3F8"/>
            <w:tcMar>
              <w:top w:w="100" w:type="dxa"/>
              <w:start w:w="110" w:type="dxa"/>
              <w:bottom w:w="100" w:type="dxa"/>
              <w:end w:w="110" w:type="dxa"/>
            </w:tcMar>
          </w:tcPr>
          <w:p>
            <w:pPr>
              <w:spacing w:after="20"/>
            </w:pPr>
            <w:r>
              <w:rPr>
                <w:sz w:val="17"/>
              </w:rPr>
              <w:t>Scoped role, tool allowlist, bounded plan and human approval</w:t>
            </w:r>
          </w:p>
        </w:tc>
        <w:tc>
          <w:tcPr>
            <w:tcW w:type="dxa" w:w="3024"/>
            <w:vAlign w:val="center"/>
            <w:shd w:fill="EDF3F8"/>
            <w:tcMar>
              <w:top w:w="100" w:type="dxa"/>
              <w:start w:w="110" w:type="dxa"/>
              <w:bottom w:w="100" w:type="dxa"/>
              <w:end w:w="110" w:type="dxa"/>
            </w:tcMar>
          </w:tcPr>
          <w:p>
            <w:pPr>
              <w:spacing w:after="20"/>
            </w:pPr>
            <w:r>
              <w:rPr>
                <w:sz w:val="17"/>
              </w:rPr>
              <w:t>Denied-action and privilege-escalation tests</w:t>
            </w:r>
          </w:p>
        </w:tc>
      </w:tr>
      <w:tr>
        <w:tc>
          <w:tcPr>
            <w:tcW w:type="dxa" w:w="2160"/>
            <w:vAlign w:val="center"/>
            <w:shd w:fill="FFFFFF"/>
            <w:tcMar>
              <w:top w:w="100" w:type="dxa"/>
              <w:start w:w="110" w:type="dxa"/>
              <w:bottom w:w="100" w:type="dxa"/>
              <w:end w:w="110" w:type="dxa"/>
            </w:tcMar>
          </w:tcPr>
          <w:p>
            <w:pPr>
              <w:spacing w:after="20"/>
            </w:pPr>
            <w:r>
              <w:rPr>
                <w:sz w:val="17"/>
              </w:rPr>
              <w:t>Sensitive prompt logging</w:t>
            </w:r>
          </w:p>
        </w:tc>
        <w:tc>
          <w:tcPr>
            <w:tcW w:type="dxa" w:w="3888"/>
            <w:vAlign w:val="center"/>
            <w:shd w:fill="FFFFFF"/>
            <w:tcMar>
              <w:top w:w="100" w:type="dxa"/>
              <w:start w:w="110" w:type="dxa"/>
              <w:bottom w:w="100" w:type="dxa"/>
              <w:end w:w="110" w:type="dxa"/>
            </w:tcMar>
          </w:tcPr>
          <w:p>
            <w:pPr>
              <w:spacing w:after="20"/>
            </w:pPr>
            <w:r>
              <w:rPr>
                <w:sz w:val="17"/>
              </w:rPr>
              <w:t>Field classification, masking and retention policy</w:t>
            </w:r>
          </w:p>
        </w:tc>
        <w:tc>
          <w:tcPr>
            <w:tcW w:type="dxa" w:w="3024"/>
            <w:vAlign w:val="center"/>
            <w:shd w:fill="FFFFFF"/>
            <w:tcMar>
              <w:top w:w="100" w:type="dxa"/>
              <w:start w:w="110" w:type="dxa"/>
              <w:bottom w:w="100" w:type="dxa"/>
              <w:end w:w="110" w:type="dxa"/>
            </w:tcMar>
          </w:tcPr>
          <w:p>
            <w:pPr>
              <w:spacing w:after="20"/>
            </w:pPr>
            <w:r>
              <w:rPr>
                <w:sz w:val="17"/>
              </w:rPr>
              <w:t>Log inspection tests</w:t>
            </w:r>
          </w:p>
        </w:tc>
      </w:tr>
      <w:tr>
        <w:tc>
          <w:tcPr>
            <w:tcW w:type="dxa" w:w="2160"/>
            <w:vAlign w:val="center"/>
            <w:shd w:fill="EDF3F8"/>
            <w:tcMar>
              <w:top w:w="100" w:type="dxa"/>
              <w:start w:w="110" w:type="dxa"/>
              <w:bottom w:w="100" w:type="dxa"/>
              <w:end w:w="110" w:type="dxa"/>
            </w:tcMar>
          </w:tcPr>
          <w:p>
            <w:pPr>
              <w:spacing w:after="20"/>
            </w:pPr>
            <w:r>
              <w:rPr>
                <w:sz w:val="17"/>
              </w:rPr>
              <w:t>Cost exhaustion</w:t>
            </w:r>
          </w:p>
        </w:tc>
        <w:tc>
          <w:tcPr>
            <w:tcW w:type="dxa" w:w="3888"/>
            <w:vAlign w:val="center"/>
            <w:shd w:fill="EDF3F8"/>
            <w:tcMar>
              <w:top w:w="100" w:type="dxa"/>
              <w:start w:w="110" w:type="dxa"/>
              <w:bottom w:w="100" w:type="dxa"/>
              <w:end w:w="110" w:type="dxa"/>
            </w:tcMar>
          </w:tcPr>
          <w:p>
            <w:pPr>
              <w:spacing w:after="20"/>
            </w:pPr>
            <w:r>
              <w:rPr>
                <w:sz w:val="17"/>
              </w:rPr>
              <w:t>Token, turn, tool and per-user budgets</w:t>
            </w:r>
          </w:p>
        </w:tc>
        <w:tc>
          <w:tcPr>
            <w:tcW w:type="dxa" w:w="3024"/>
            <w:vAlign w:val="center"/>
            <w:shd w:fill="EDF3F8"/>
            <w:tcMar>
              <w:top w:w="100" w:type="dxa"/>
              <w:start w:w="110" w:type="dxa"/>
              <w:bottom w:w="100" w:type="dxa"/>
              <w:end w:w="110" w:type="dxa"/>
            </w:tcMar>
          </w:tcPr>
          <w:p>
            <w:pPr>
              <w:spacing w:after="20"/>
            </w:pPr>
            <w:r>
              <w:rPr>
                <w:sz w:val="17"/>
              </w:rPr>
              <w:t>Quota and anomaly-alarm tests</w:t>
            </w:r>
          </w:p>
        </w:tc>
      </w:tr>
      <w:tr>
        <w:tc>
          <w:tcPr>
            <w:tcW w:type="dxa" w:w="2160"/>
            <w:vAlign w:val="center"/>
            <w:shd w:fill="FFFFFF"/>
            <w:tcMar>
              <w:top w:w="100" w:type="dxa"/>
              <w:start w:w="110" w:type="dxa"/>
              <w:bottom w:w="100" w:type="dxa"/>
              <w:end w:w="110" w:type="dxa"/>
            </w:tcMar>
          </w:tcPr>
          <w:p>
            <w:pPr>
              <w:spacing w:after="20"/>
            </w:pPr>
            <w:r>
              <w:rPr>
                <w:sz w:val="17"/>
              </w:rPr>
              <w:t>External MCP compromise</w:t>
            </w:r>
          </w:p>
        </w:tc>
        <w:tc>
          <w:tcPr>
            <w:tcW w:type="dxa" w:w="3888"/>
            <w:vAlign w:val="center"/>
            <w:shd w:fill="FFFFFF"/>
            <w:tcMar>
              <w:top w:w="100" w:type="dxa"/>
              <w:start w:w="110" w:type="dxa"/>
              <w:bottom w:w="100" w:type="dxa"/>
              <w:end w:w="110" w:type="dxa"/>
            </w:tcMar>
          </w:tcPr>
          <w:p>
            <w:pPr>
              <w:spacing w:after="20"/>
            </w:pPr>
            <w:r>
              <w:rPr>
                <w:sz w:val="17"/>
              </w:rPr>
              <w:t>Allowlist, version pinning, controlled egress and circuit breaker</w:t>
            </w:r>
          </w:p>
        </w:tc>
        <w:tc>
          <w:tcPr>
            <w:tcW w:type="dxa" w:w="3024"/>
            <w:vAlign w:val="center"/>
            <w:shd w:fill="FFFFFF"/>
            <w:tcMar>
              <w:top w:w="100" w:type="dxa"/>
              <w:start w:w="110" w:type="dxa"/>
              <w:bottom w:w="100" w:type="dxa"/>
              <w:end w:w="110" w:type="dxa"/>
            </w:tcMar>
          </w:tcPr>
          <w:p>
            <w:pPr>
              <w:spacing w:after="20"/>
            </w:pPr>
            <w:r>
              <w:rPr>
                <w:sz w:val="17"/>
              </w:rPr>
              <w:t>Dependency and failure-injection tests</w:t>
            </w:r>
          </w:p>
        </w:tc>
      </w:tr>
      <w:tr>
        <w:tc>
          <w:tcPr>
            <w:tcW w:type="dxa" w:w="2160"/>
            <w:vAlign w:val="center"/>
            <w:shd w:fill="EDF3F8"/>
            <w:tcMar>
              <w:top w:w="100" w:type="dxa"/>
              <w:start w:w="110" w:type="dxa"/>
              <w:bottom w:w="100" w:type="dxa"/>
              <w:end w:w="110" w:type="dxa"/>
            </w:tcMar>
          </w:tcPr>
          <w:p>
            <w:pPr>
              <w:spacing w:after="20"/>
            </w:pPr>
            <w:r>
              <w:rPr>
                <w:sz w:val="17"/>
              </w:rPr>
              <w:t>Destructive deployment</w:t>
            </w:r>
          </w:p>
        </w:tc>
        <w:tc>
          <w:tcPr>
            <w:tcW w:type="dxa" w:w="3888"/>
            <w:vAlign w:val="center"/>
            <w:shd w:fill="EDF3F8"/>
            <w:tcMar>
              <w:top w:w="100" w:type="dxa"/>
              <w:start w:w="110" w:type="dxa"/>
              <w:bottom w:w="100" w:type="dxa"/>
              <w:end w:w="110" w:type="dxa"/>
            </w:tcMar>
          </w:tcPr>
          <w:p>
            <w:pPr>
              <w:spacing w:after="20"/>
            </w:pPr>
            <w:r>
              <w:rPr>
                <w:sz w:val="17"/>
              </w:rPr>
              <w:t>Retention policy, backups and protected production pipeline</w:t>
            </w:r>
          </w:p>
        </w:tc>
        <w:tc>
          <w:tcPr>
            <w:tcW w:type="dxa" w:w="3024"/>
            <w:vAlign w:val="center"/>
            <w:shd w:fill="EDF3F8"/>
            <w:tcMar>
              <w:top w:w="100" w:type="dxa"/>
              <w:start w:w="110" w:type="dxa"/>
              <w:bottom w:w="100" w:type="dxa"/>
              <w:end w:w="110" w:type="dxa"/>
            </w:tcMar>
          </w:tcPr>
          <w:p>
            <w:pPr>
              <w:spacing w:after="20"/>
            </w:pPr>
            <w:r>
              <w:rPr>
                <w:sz w:val="17"/>
              </w:rPr>
              <w:t>Deletion-protection and restore tests</w:t>
            </w:r>
          </w:p>
        </w:tc>
      </w:tr>
    </w:tbl>
    <w:p>
      <w:pPr>
        <w:spacing w:after="20"/>
      </w:pPr>
    </w:p>
    <w:p>
      <w:pPr>
        <w:pStyle w:val="Heading2"/>
      </w:pPr>
      <w:r>
        <w:t>6.2 Failure behavior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shd w:fill="17365D"/>
            <w:vAlign w:val="center"/>
            <w:tcMar>
              <w:top w:w="100" w:type="dxa"/>
              <w:start w:w="110" w:type="dxa"/>
              <w:bottom w:w="100" w:type="dxa"/>
              <w:end w:w="110" w:type="dxa"/>
            </w:tcMar>
          </w:tcPr>
          <w:p>
            <w:r>
              <w:rPr>
                <w:b/>
                <w:color w:val="FFFFFF"/>
                <w:sz w:val="18"/>
              </w:rPr>
              <w:t>Failure</w:t>
            </w:r>
          </w:p>
        </w:tc>
        <w:tc>
          <w:tcPr>
            <w:tcW w:type="dxa" w:w="6696"/>
            <w:shd w:fill="17365D"/>
            <w:vAlign w:val="center"/>
            <w:tcMar>
              <w:top w:w="100" w:type="dxa"/>
              <w:start w:w="110" w:type="dxa"/>
              <w:bottom w:w="100" w:type="dxa"/>
              <w:end w:w="110" w:type="dxa"/>
            </w:tcMar>
          </w:tcPr>
          <w:p>
            <w:r>
              <w:rPr>
                <w:b/>
                <w:color w:val="FFFFFF"/>
                <w:sz w:val="18"/>
              </w:rPr>
              <w:t>Required response</w:t>
            </w:r>
          </w:p>
        </w:tc>
      </w:tr>
      <w:tr>
        <w:tc>
          <w:tcPr>
            <w:tcW w:type="dxa" w:w="2376"/>
            <w:vAlign w:val="center"/>
            <w:shd w:fill="FFFFFF"/>
            <w:tcMar>
              <w:top w:w="100" w:type="dxa"/>
              <w:start w:w="110" w:type="dxa"/>
              <w:bottom w:w="100" w:type="dxa"/>
              <w:end w:w="110" w:type="dxa"/>
            </w:tcMar>
          </w:tcPr>
          <w:p>
            <w:pPr>
              <w:spacing w:after="20"/>
            </w:pPr>
            <w:r>
              <w:rPr>
                <w:sz w:val="17"/>
              </w:rPr>
              <w:t>Authentication missing</w:t>
            </w:r>
          </w:p>
        </w:tc>
        <w:tc>
          <w:tcPr>
            <w:tcW w:type="dxa" w:w="6696"/>
            <w:vAlign w:val="center"/>
            <w:shd w:fill="FFFFFF"/>
            <w:tcMar>
              <w:top w:w="100" w:type="dxa"/>
              <w:start w:w="110" w:type="dxa"/>
              <w:bottom w:w="100" w:type="dxa"/>
              <w:end w:w="110" w:type="dxa"/>
            </w:tcMar>
          </w:tcPr>
          <w:p>
            <w:pPr>
              <w:spacing w:after="20"/>
            </w:pPr>
            <w:r>
              <w:rPr>
                <w:sz w:val="17"/>
              </w:rPr>
              <w:t>Return 401 and do not invoke the model.</w:t>
            </w:r>
          </w:p>
        </w:tc>
      </w:tr>
      <w:tr>
        <w:tc>
          <w:tcPr>
            <w:tcW w:type="dxa" w:w="2376"/>
            <w:vAlign w:val="center"/>
            <w:shd w:fill="EDF3F8"/>
            <w:tcMar>
              <w:top w:w="100" w:type="dxa"/>
              <w:start w:w="110" w:type="dxa"/>
              <w:bottom w:w="100" w:type="dxa"/>
              <w:end w:w="110" w:type="dxa"/>
            </w:tcMar>
          </w:tcPr>
          <w:p>
            <w:pPr>
              <w:spacing w:after="20"/>
            </w:pPr>
            <w:r>
              <w:rPr>
                <w:sz w:val="17"/>
              </w:rPr>
              <w:t>Authorization denied</w:t>
            </w:r>
          </w:p>
        </w:tc>
        <w:tc>
          <w:tcPr>
            <w:tcW w:type="dxa" w:w="6696"/>
            <w:vAlign w:val="center"/>
            <w:shd w:fill="EDF3F8"/>
            <w:tcMar>
              <w:top w:w="100" w:type="dxa"/>
              <w:start w:w="110" w:type="dxa"/>
              <w:bottom w:w="100" w:type="dxa"/>
              <w:end w:w="110" w:type="dxa"/>
            </w:tcMar>
          </w:tcPr>
          <w:p>
            <w:pPr>
              <w:spacing w:after="20"/>
            </w:pPr>
            <w:r>
              <w:rPr>
                <w:sz w:val="17"/>
              </w:rPr>
              <w:t>Return 403 without revealing restricted resource details.</w:t>
            </w:r>
          </w:p>
        </w:tc>
      </w:tr>
      <w:tr>
        <w:tc>
          <w:tcPr>
            <w:tcW w:type="dxa" w:w="2376"/>
            <w:vAlign w:val="center"/>
            <w:shd w:fill="FFFFFF"/>
            <w:tcMar>
              <w:top w:w="100" w:type="dxa"/>
              <w:start w:w="110" w:type="dxa"/>
              <w:bottom w:w="100" w:type="dxa"/>
              <w:end w:w="110" w:type="dxa"/>
            </w:tcMar>
          </w:tcPr>
          <w:p>
            <w:pPr>
              <w:spacing w:after="20"/>
            </w:pPr>
            <w:r>
              <w:rPr>
                <w:sz w:val="17"/>
              </w:rPr>
              <w:t>No relevant evidence</w:t>
            </w:r>
          </w:p>
        </w:tc>
        <w:tc>
          <w:tcPr>
            <w:tcW w:type="dxa" w:w="6696"/>
            <w:vAlign w:val="center"/>
            <w:shd w:fill="FFFFFF"/>
            <w:tcMar>
              <w:top w:w="100" w:type="dxa"/>
              <w:start w:w="110" w:type="dxa"/>
              <w:bottom w:w="100" w:type="dxa"/>
              <w:end w:w="110" w:type="dxa"/>
            </w:tcMar>
          </w:tcPr>
          <w:p>
            <w:pPr>
              <w:spacing w:after="20"/>
            </w:pPr>
            <w:r>
              <w:rPr>
                <w:sz w:val="17"/>
              </w:rPr>
              <w:t>Return insufficient evidence; do not present an authoritative grounded answer.</w:t>
            </w:r>
          </w:p>
        </w:tc>
      </w:tr>
      <w:tr>
        <w:tc>
          <w:tcPr>
            <w:tcW w:type="dxa" w:w="2376"/>
            <w:vAlign w:val="center"/>
            <w:shd w:fill="EDF3F8"/>
            <w:tcMar>
              <w:top w:w="100" w:type="dxa"/>
              <w:start w:w="110" w:type="dxa"/>
              <w:bottom w:w="100" w:type="dxa"/>
              <w:end w:w="110" w:type="dxa"/>
            </w:tcMar>
          </w:tcPr>
          <w:p>
            <w:pPr>
              <w:spacing w:after="20"/>
            </w:pPr>
            <w:r>
              <w:rPr>
                <w:sz w:val="17"/>
              </w:rPr>
              <w:t>Model throttled</w:t>
            </w:r>
          </w:p>
        </w:tc>
        <w:tc>
          <w:tcPr>
            <w:tcW w:type="dxa" w:w="6696"/>
            <w:vAlign w:val="center"/>
            <w:shd w:fill="EDF3F8"/>
            <w:tcMar>
              <w:top w:w="100" w:type="dxa"/>
              <w:start w:w="110" w:type="dxa"/>
              <w:bottom w:w="100" w:type="dxa"/>
              <w:end w:w="110" w:type="dxa"/>
            </w:tcMar>
          </w:tcPr>
          <w:p>
            <w:pPr>
              <w:spacing w:after="20"/>
            </w:pPr>
            <w:r>
              <w:rPr>
                <w:sz w:val="17"/>
              </w:rPr>
              <w:t>Use bounded retry and approved fallback or return an explicit retryable failure.</w:t>
            </w:r>
          </w:p>
        </w:tc>
      </w:tr>
      <w:tr>
        <w:tc>
          <w:tcPr>
            <w:tcW w:type="dxa" w:w="2376"/>
            <w:vAlign w:val="center"/>
            <w:shd w:fill="FFFFFF"/>
            <w:tcMar>
              <w:top w:w="100" w:type="dxa"/>
              <w:start w:w="110" w:type="dxa"/>
              <w:bottom w:w="100" w:type="dxa"/>
              <w:end w:w="110" w:type="dxa"/>
            </w:tcMar>
          </w:tcPr>
          <w:p>
            <w:pPr>
              <w:spacing w:after="20"/>
            </w:pPr>
            <w:r>
              <w:rPr>
                <w:sz w:val="17"/>
              </w:rPr>
              <w:t>Tool timeout</w:t>
            </w:r>
          </w:p>
        </w:tc>
        <w:tc>
          <w:tcPr>
            <w:tcW w:type="dxa" w:w="6696"/>
            <w:vAlign w:val="center"/>
            <w:shd w:fill="FFFFFF"/>
            <w:tcMar>
              <w:top w:w="100" w:type="dxa"/>
              <w:start w:w="110" w:type="dxa"/>
              <w:bottom w:w="100" w:type="dxa"/>
              <w:end w:w="110" w:type="dxa"/>
            </w:tcMar>
          </w:tcPr>
          <w:p>
            <w:pPr>
              <w:spacing w:after="20"/>
            </w:pPr>
            <w:r>
              <w:rPr>
                <w:sz w:val="17"/>
              </w:rPr>
              <w:t>Stop the tool, retain evidence and return partial or failed state.</w:t>
            </w:r>
          </w:p>
        </w:tc>
      </w:tr>
      <w:tr>
        <w:tc>
          <w:tcPr>
            <w:tcW w:type="dxa" w:w="2376"/>
            <w:vAlign w:val="center"/>
            <w:shd w:fill="EDF3F8"/>
            <w:tcMar>
              <w:top w:w="100" w:type="dxa"/>
              <w:start w:w="110" w:type="dxa"/>
              <w:bottom w:w="100" w:type="dxa"/>
              <w:end w:w="110" w:type="dxa"/>
            </w:tcMar>
          </w:tcPr>
          <w:p>
            <w:pPr>
              <w:spacing w:after="20"/>
            </w:pPr>
            <w:r>
              <w:rPr>
                <w:sz w:val="17"/>
              </w:rPr>
              <w:t>Output schema invalid</w:t>
            </w:r>
          </w:p>
        </w:tc>
        <w:tc>
          <w:tcPr>
            <w:tcW w:type="dxa" w:w="6696"/>
            <w:vAlign w:val="center"/>
            <w:shd w:fill="EDF3F8"/>
            <w:tcMar>
              <w:top w:w="100" w:type="dxa"/>
              <w:start w:w="110" w:type="dxa"/>
              <w:bottom w:w="100" w:type="dxa"/>
              <w:end w:w="110" w:type="dxa"/>
            </w:tcMar>
          </w:tcPr>
          <w:p>
            <w:pPr>
              <w:spacing w:after="20"/>
            </w:pPr>
            <w:r>
              <w:rPr>
                <w:sz w:val="17"/>
              </w:rPr>
              <w:t>Reject downstream use and record validation failed.</w:t>
            </w:r>
          </w:p>
        </w:tc>
      </w:tr>
      <w:tr>
        <w:tc>
          <w:tcPr>
            <w:tcW w:type="dxa" w:w="2376"/>
            <w:vAlign w:val="center"/>
            <w:shd w:fill="FFFFFF"/>
            <w:tcMar>
              <w:top w:w="100" w:type="dxa"/>
              <w:start w:w="110" w:type="dxa"/>
              <w:bottom w:w="100" w:type="dxa"/>
              <w:end w:w="110" w:type="dxa"/>
            </w:tcMar>
          </w:tcPr>
          <w:p>
            <w:pPr>
              <w:spacing w:after="20"/>
            </w:pPr>
            <w:r>
              <w:rPr>
                <w:sz w:val="17"/>
              </w:rPr>
              <w:t>Duplicate request</w:t>
            </w:r>
          </w:p>
        </w:tc>
        <w:tc>
          <w:tcPr>
            <w:tcW w:type="dxa" w:w="6696"/>
            <w:vAlign w:val="center"/>
            <w:shd w:fill="FFFFFF"/>
            <w:tcMar>
              <w:top w:w="100" w:type="dxa"/>
              <w:start w:w="110" w:type="dxa"/>
              <w:bottom w:w="100" w:type="dxa"/>
              <w:end w:w="110" w:type="dxa"/>
            </w:tcMar>
          </w:tcPr>
          <w:p>
            <w:pPr>
              <w:spacing w:after="20"/>
            </w:pPr>
            <w:r>
              <w:rPr>
                <w:sz w:val="17"/>
              </w:rPr>
              <w:t>Return the existing result or processing status.</w:t>
            </w:r>
          </w:p>
        </w:tc>
      </w:tr>
      <w:tr>
        <w:tc>
          <w:tcPr>
            <w:tcW w:type="dxa" w:w="2376"/>
            <w:vAlign w:val="center"/>
            <w:shd w:fill="EDF3F8"/>
            <w:tcMar>
              <w:top w:w="100" w:type="dxa"/>
              <w:start w:w="110" w:type="dxa"/>
              <w:bottom w:w="100" w:type="dxa"/>
              <w:end w:w="110" w:type="dxa"/>
            </w:tcMar>
          </w:tcPr>
          <w:p>
            <w:pPr>
              <w:spacing w:after="20"/>
            </w:pPr>
            <w:r>
              <w:rPr>
                <w:sz w:val="17"/>
              </w:rPr>
              <w:t>Safety service unavailable</w:t>
            </w:r>
          </w:p>
        </w:tc>
        <w:tc>
          <w:tcPr>
            <w:tcW w:type="dxa" w:w="6696"/>
            <w:vAlign w:val="center"/>
            <w:shd w:fill="EDF3F8"/>
            <w:tcMar>
              <w:top w:w="100" w:type="dxa"/>
              <w:start w:w="110" w:type="dxa"/>
              <w:bottom w:w="100" w:type="dxa"/>
              <w:end w:w="110" w:type="dxa"/>
            </w:tcMar>
          </w:tcPr>
          <w:p>
            <w:pPr>
              <w:spacing w:after="20"/>
            </w:pPr>
            <w:r>
              <w:rPr>
                <w:sz w:val="17"/>
              </w:rPr>
              <w:t>Fail closed for use cases that require the control.</w:t>
            </w:r>
          </w:p>
        </w:tc>
      </w:tr>
    </w:tbl>
    <w:p>
      <w:pPr>
        <w:spacing w:after="20"/>
      </w:pPr>
    </w:p>
    <w:p>
      <w:r>
        <w:t>Plain-language contract: when a contract is violated, GenU stops at the affected boundary, reports the failure without exposing sensitive details, preserves evidence and does not claim that the task succeeded.</w:t>
      </w:r>
    </w:p>
    <w:p>
      <w:pPr>
        <w:pStyle w:val="Heading1"/>
      </w:pPr>
      <w:r>
        <w:t>7 AWS Well Architected alignment</w:t>
      </w:r>
    </w:p>
    <w:p>
      <w:r>
        <w:t>The AWS Well-Architected Framework defines six pillars. The Generative AI Lens extends them with model quality, prompt security, retrieval performance, agent safety, responsible AI and lifecycle governance. GenU aligns with the framework through managed services and CDK, but production assurance depends on configuration and operational evidence.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17365D"/>
            <w:vAlign w:val="center"/>
            <w:tcMar>
              <w:top w:w="100" w:type="dxa"/>
              <w:start w:w="110" w:type="dxa"/>
              <w:bottom w:w="100" w:type="dxa"/>
              <w:end w:w="110" w:type="dxa"/>
            </w:tcMar>
          </w:tcPr>
          <w:p>
            <w:r>
              <w:rPr>
                <w:b/>
                <w:color w:val="FFFFFF"/>
                <w:sz w:val="18"/>
              </w:rPr>
              <w:t>Pillar</w:t>
            </w:r>
          </w:p>
        </w:tc>
        <w:tc>
          <w:tcPr>
            <w:tcW w:type="dxa" w:w="3672"/>
            <w:shd w:fill="17365D"/>
            <w:vAlign w:val="center"/>
            <w:tcMar>
              <w:top w:w="100" w:type="dxa"/>
              <w:start w:w="110" w:type="dxa"/>
              <w:bottom w:w="100" w:type="dxa"/>
              <w:end w:w="110" w:type="dxa"/>
            </w:tcMar>
          </w:tcPr>
          <w:p>
            <w:r>
              <w:rPr>
                <w:b/>
                <w:color w:val="FFFFFF"/>
                <w:sz w:val="18"/>
              </w:rPr>
              <w:t>Existing GenU strength</w:t>
            </w:r>
          </w:p>
        </w:tc>
        <w:tc>
          <w:tcPr>
            <w:tcW w:type="dxa" w:w="3672"/>
            <w:shd w:fill="17365D"/>
            <w:vAlign w:val="center"/>
            <w:tcMar>
              <w:top w:w="100" w:type="dxa"/>
              <w:start w:w="110" w:type="dxa"/>
              <w:bottom w:w="100" w:type="dxa"/>
              <w:end w:w="110" w:type="dxa"/>
            </w:tcMar>
          </w:tcPr>
          <w:p>
            <w:r>
              <w:rPr>
                <w:b/>
                <w:color w:val="FFFFFF"/>
                <w:sz w:val="18"/>
              </w:rPr>
              <w:t>Required production improvement</w:t>
            </w:r>
          </w:p>
        </w:tc>
      </w:tr>
      <w:tr>
        <w:tc>
          <w:tcPr>
            <w:tcW w:type="dxa" w:w="1800"/>
            <w:vAlign w:val="center"/>
            <w:shd w:fill="FFFFFF"/>
            <w:tcMar>
              <w:top w:w="100" w:type="dxa"/>
              <w:start w:w="110" w:type="dxa"/>
              <w:bottom w:w="100" w:type="dxa"/>
              <w:end w:w="110" w:type="dxa"/>
            </w:tcMar>
          </w:tcPr>
          <w:p>
            <w:pPr>
              <w:spacing w:after="20"/>
            </w:pPr>
            <w:r>
              <w:rPr>
                <w:sz w:val="17"/>
              </w:rPr>
              <w:t>Operational Excellence</w:t>
            </w:r>
          </w:p>
        </w:tc>
        <w:tc>
          <w:tcPr>
            <w:tcW w:type="dxa" w:w="3672"/>
            <w:vAlign w:val="center"/>
            <w:shd w:fill="FFFFFF"/>
            <w:tcMar>
              <w:top w:w="100" w:type="dxa"/>
              <w:start w:w="110" w:type="dxa"/>
              <w:bottom w:w="100" w:type="dxa"/>
              <w:end w:w="110" w:type="dxa"/>
            </w:tcMar>
          </w:tcPr>
          <w:p>
            <w:pPr>
              <w:spacing w:after="20"/>
            </w:pPr>
            <w:r>
              <w:rPr>
                <w:sz w:val="17"/>
              </w:rPr>
              <w:t>CDK, configurable stacks, CloudWatch option and usage statistics</w:t>
            </w:r>
          </w:p>
        </w:tc>
        <w:tc>
          <w:tcPr>
            <w:tcW w:type="dxa" w:w="3672"/>
            <w:vAlign w:val="center"/>
            <w:shd w:fill="FFFFFF"/>
            <w:tcMar>
              <w:top w:w="100" w:type="dxa"/>
              <w:start w:w="110" w:type="dxa"/>
              <w:bottom w:w="100" w:type="dxa"/>
              <w:end w:w="110" w:type="dxa"/>
            </w:tcMar>
          </w:tcPr>
          <w:p>
            <w:pPr>
              <w:spacing w:after="20"/>
            </w:pPr>
            <w:r>
              <w:rPr>
                <w:sz w:val="17"/>
              </w:rPr>
              <w:t>CI/CD gates, versioned AI assets, alarms, runbooks and rollback</w:t>
            </w:r>
          </w:p>
        </w:tc>
      </w:tr>
      <w:tr>
        <w:tc>
          <w:tcPr>
            <w:tcW w:type="dxa" w:w="1800"/>
            <w:vAlign w:val="center"/>
            <w:shd w:fill="EDF3F8"/>
            <w:tcMar>
              <w:top w:w="100" w:type="dxa"/>
              <w:start w:w="110" w:type="dxa"/>
              <w:bottom w:w="100" w:type="dxa"/>
              <w:end w:w="110" w:type="dxa"/>
            </w:tcMar>
          </w:tcPr>
          <w:p>
            <w:pPr>
              <w:spacing w:after="20"/>
            </w:pPr>
            <w:r>
              <w:rPr>
                <w:sz w:val="17"/>
              </w:rPr>
              <w:t>Security</w:t>
            </w:r>
          </w:p>
        </w:tc>
        <w:tc>
          <w:tcPr>
            <w:tcW w:type="dxa" w:w="3672"/>
            <w:vAlign w:val="center"/>
            <w:shd w:fill="EDF3F8"/>
            <w:tcMar>
              <w:top w:w="100" w:type="dxa"/>
              <w:start w:w="110" w:type="dxa"/>
              <w:bottom w:w="100" w:type="dxa"/>
              <w:end w:w="110" w:type="dxa"/>
            </w:tcMar>
          </w:tcPr>
          <w:p>
            <w:pPr>
              <w:spacing w:after="20"/>
            </w:pPr>
            <w:r>
              <w:rPr>
                <w:sz w:val="17"/>
              </w:rPr>
              <w:t>Cognito, SAML, WAF, private S3, Guardrails and closed-network option</w:t>
            </w:r>
          </w:p>
        </w:tc>
        <w:tc>
          <w:tcPr>
            <w:tcW w:type="dxa" w:w="3672"/>
            <w:vAlign w:val="center"/>
            <w:shd w:fill="EDF3F8"/>
            <w:tcMar>
              <w:top w:w="100" w:type="dxa"/>
              <w:start w:w="110" w:type="dxa"/>
              <w:bottom w:w="100" w:type="dxa"/>
              <w:end w:w="110" w:type="dxa"/>
            </w:tcMar>
          </w:tcPr>
          <w:p>
            <w:pPr>
              <w:spacing w:after="20"/>
            </w:pPr>
            <w:r>
              <w:rPr>
                <w:sz w:val="17"/>
              </w:rPr>
              <w:t>Narrow IAM, restrict CORS, private retrieval, MFA and governed logging</w:t>
            </w:r>
          </w:p>
        </w:tc>
      </w:tr>
      <w:tr>
        <w:tc>
          <w:tcPr>
            <w:tcW w:type="dxa" w:w="1800"/>
            <w:vAlign w:val="center"/>
            <w:shd w:fill="FFFFFF"/>
            <w:tcMar>
              <w:top w:w="100" w:type="dxa"/>
              <w:start w:w="110" w:type="dxa"/>
              <w:bottom w:w="100" w:type="dxa"/>
              <w:end w:w="110" w:type="dxa"/>
            </w:tcMar>
          </w:tcPr>
          <w:p>
            <w:pPr>
              <w:spacing w:after="20"/>
            </w:pPr>
            <w:r>
              <w:rPr>
                <w:sz w:val="17"/>
              </w:rPr>
              <w:t>Reliability</w:t>
            </w:r>
          </w:p>
        </w:tc>
        <w:tc>
          <w:tcPr>
            <w:tcW w:type="dxa" w:w="3672"/>
            <w:vAlign w:val="center"/>
            <w:shd w:fill="FFFFFF"/>
            <w:tcMar>
              <w:top w:w="100" w:type="dxa"/>
              <w:start w:w="110" w:type="dxa"/>
              <w:bottom w:w="100" w:type="dxa"/>
              <w:end w:w="110" w:type="dxa"/>
            </w:tcMar>
          </w:tcPr>
          <w:p>
            <w:pPr>
              <w:spacing w:after="20"/>
            </w:pPr>
            <w:r>
              <w:rPr>
                <w:sz w:val="17"/>
              </w:rPr>
              <w:t>Managed serverless services and on-demand DynamoDB</w:t>
            </w:r>
          </w:p>
        </w:tc>
        <w:tc>
          <w:tcPr>
            <w:tcW w:type="dxa" w:w="3672"/>
            <w:vAlign w:val="center"/>
            <w:shd w:fill="FFFFFF"/>
            <w:tcMar>
              <w:top w:w="100" w:type="dxa"/>
              <w:start w:w="110" w:type="dxa"/>
              <w:bottom w:w="100" w:type="dxa"/>
              <w:end w:w="110" w:type="dxa"/>
            </w:tcMar>
          </w:tcPr>
          <w:p>
            <w:pPr>
              <w:spacing w:after="20"/>
            </w:pPr>
            <w:r>
              <w:rPr>
                <w:sz w:val="17"/>
              </w:rPr>
              <w:t>PITR, S3 versioning, retention, queues, DLQs and recovery tests</w:t>
            </w:r>
          </w:p>
        </w:tc>
      </w:tr>
      <w:tr>
        <w:tc>
          <w:tcPr>
            <w:tcW w:type="dxa" w:w="1800"/>
            <w:vAlign w:val="center"/>
            <w:shd w:fill="EDF3F8"/>
            <w:tcMar>
              <w:top w:w="100" w:type="dxa"/>
              <w:start w:w="110" w:type="dxa"/>
              <w:bottom w:w="100" w:type="dxa"/>
              <w:end w:w="110" w:type="dxa"/>
            </w:tcMar>
          </w:tcPr>
          <w:p>
            <w:pPr>
              <w:spacing w:after="20"/>
            </w:pPr>
            <w:r>
              <w:rPr>
                <w:sz w:val="17"/>
              </w:rPr>
              <w:t>Performance Efficiency</w:t>
            </w:r>
          </w:p>
        </w:tc>
        <w:tc>
          <w:tcPr>
            <w:tcW w:type="dxa" w:w="3672"/>
            <w:vAlign w:val="center"/>
            <w:shd w:fill="EDF3F8"/>
            <w:tcMar>
              <w:top w:w="100" w:type="dxa"/>
              <w:start w:w="110" w:type="dxa"/>
              <w:bottom w:w="100" w:type="dxa"/>
              <w:end w:w="110" w:type="dxa"/>
            </w:tcMar>
          </w:tcPr>
          <w:p>
            <w:pPr>
              <w:spacing w:after="20"/>
            </w:pPr>
            <w:r>
              <w:rPr>
                <w:sz w:val="17"/>
              </w:rPr>
              <w:t>Streaming, managed inference, reranking and selectable vector stores</w:t>
            </w:r>
          </w:p>
        </w:tc>
        <w:tc>
          <w:tcPr>
            <w:tcW w:type="dxa" w:w="3672"/>
            <w:vAlign w:val="center"/>
            <w:shd w:fill="EDF3F8"/>
            <w:tcMar>
              <w:top w:w="100" w:type="dxa"/>
              <w:start w:w="110" w:type="dxa"/>
              <w:bottom w:w="100" w:type="dxa"/>
              <w:end w:w="110" w:type="dxa"/>
            </w:tcMar>
          </w:tcPr>
          <w:p>
            <w:pPr>
              <w:spacing w:after="20"/>
            </w:pPr>
            <w:r>
              <w:rPr>
                <w:sz w:val="17"/>
              </w:rPr>
              <w:t>Load tests, quota planning, retrieval tuning and task-based model routing</w:t>
            </w:r>
          </w:p>
        </w:tc>
      </w:tr>
      <w:tr>
        <w:tc>
          <w:tcPr>
            <w:tcW w:type="dxa" w:w="1800"/>
            <w:vAlign w:val="center"/>
            <w:shd w:fill="FFFFFF"/>
            <w:tcMar>
              <w:top w:w="100" w:type="dxa"/>
              <w:start w:w="110" w:type="dxa"/>
              <w:bottom w:w="100" w:type="dxa"/>
              <w:end w:w="110" w:type="dxa"/>
            </w:tcMar>
          </w:tcPr>
          <w:p>
            <w:pPr>
              <w:spacing w:after="20"/>
            </w:pPr>
            <w:r>
              <w:rPr>
                <w:sz w:val="17"/>
              </w:rPr>
              <w:t>Cost Optimization</w:t>
            </w:r>
          </w:p>
        </w:tc>
        <w:tc>
          <w:tcPr>
            <w:tcW w:type="dxa" w:w="3672"/>
            <w:vAlign w:val="center"/>
            <w:shd w:fill="FFFFFF"/>
            <w:tcMar>
              <w:top w:w="100" w:type="dxa"/>
              <w:start w:w="110" w:type="dxa"/>
              <w:bottom w:w="100" w:type="dxa"/>
              <w:end w:w="110" w:type="dxa"/>
            </w:tcMar>
          </w:tcPr>
          <w:p>
            <w:pPr>
              <w:spacing w:after="20"/>
            </w:pPr>
            <w:r>
              <w:rPr>
                <w:sz w:val="17"/>
              </w:rPr>
              <w:t>Pay-per-use compute, token statistics, tags and Kendra scheduling</w:t>
            </w:r>
          </w:p>
        </w:tc>
        <w:tc>
          <w:tcPr>
            <w:tcW w:type="dxa" w:w="3672"/>
            <w:vAlign w:val="center"/>
            <w:shd w:fill="FFFFFF"/>
            <w:tcMar>
              <w:top w:w="100" w:type="dxa"/>
              <w:start w:w="110" w:type="dxa"/>
              <w:bottom w:w="100" w:type="dxa"/>
              <w:end w:w="110" w:type="dxa"/>
            </w:tcMar>
          </w:tcPr>
          <w:p>
            <w:pPr>
              <w:spacing w:after="20"/>
            </w:pPr>
            <w:r>
              <w:rPr>
                <w:sz w:val="17"/>
              </w:rPr>
              <w:t>Budgets, cost per outcome, token limits and idle-resource review</w:t>
            </w:r>
          </w:p>
        </w:tc>
      </w:tr>
      <w:tr>
        <w:tc>
          <w:tcPr>
            <w:tcW w:type="dxa" w:w="1800"/>
            <w:vAlign w:val="center"/>
            <w:shd w:fill="EDF3F8"/>
            <w:tcMar>
              <w:top w:w="100" w:type="dxa"/>
              <w:start w:w="110" w:type="dxa"/>
              <w:bottom w:w="100" w:type="dxa"/>
              <w:end w:w="110" w:type="dxa"/>
            </w:tcMar>
          </w:tcPr>
          <w:p>
            <w:pPr>
              <w:spacing w:after="20"/>
            </w:pPr>
            <w:r>
              <w:rPr>
                <w:sz w:val="17"/>
              </w:rPr>
              <w:t>Sustainability</w:t>
            </w:r>
          </w:p>
        </w:tc>
        <w:tc>
          <w:tcPr>
            <w:tcW w:type="dxa" w:w="3672"/>
            <w:vAlign w:val="center"/>
            <w:shd w:fill="EDF3F8"/>
            <w:tcMar>
              <w:top w:w="100" w:type="dxa"/>
              <w:start w:w="110" w:type="dxa"/>
              <w:bottom w:w="100" w:type="dxa"/>
              <w:end w:w="110" w:type="dxa"/>
            </w:tcMar>
          </w:tcPr>
          <w:p>
            <w:pPr>
              <w:spacing w:after="20"/>
            </w:pPr>
            <w:r>
              <w:rPr>
                <w:sz w:val="17"/>
              </w:rPr>
              <w:t>Serverless scaling and choice of model size</w:t>
            </w:r>
          </w:p>
        </w:tc>
        <w:tc>
          <w:tcPr>
            <w:tcW w:type="dxa" w:w="3672"/>
            <w:vAlign w:val="center"/>
            <w:shd w:fill="EDF3F8"/>
            <w:tcMar>
              <w:top w:w="100" w:type="dxa"/>
              <w:start w:w="110" w:type="dxa"/>
              <w:bottom w:w="100" w:type="dxa"/>
              <w:end w:w="110" w:type="dxa"/>
            </w:tcMar>
          </w:tcPr>
          <w:p>
            <w:pPr>
              <w:spacing w:after="20"/>
            </w:pPr>
            <w:r>
              <w:rPr>
                <w:sz w:val="17"/>
              </w:rPr>
              <w:t>Smaller approved models, bounded agents, deduplicated ingestion and lifecycle policies</w:t>
            </w:r>
          </w:p>
        </w:tc>
      </w:tr>
    </w:tbl>
    <w:p>
      <w:pPr>
        <w:spacing w:after="20"/>
      </w:pPr>
    </w:p>
    <w:p>
      <w:pPr>
        <w:pStyle w:val="Heading2"/>
      </w:pPr>
      <w:r>
        <w:t>7.1 Source-derived hardening priorities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80"/>
            <w:shd w:fill="17365D"/>
            <w:vAlign w:val="center"/>
            <w:tcMar>
              <w:top w:w="100" w:type="dxa"/>
              <w:start w:w="110" w:type="dxa"/>
              <w:bottom w:w="100" w:type="dxa"/>
              <w:end w:w="110" w:type="dxa"/>
            </w:tcMar>
          </w:tcPr>
          <w:p>
            <w:r>
              <w:rPr>
                <w:b/>
                <w:color w:val="FFFFFF"/>
                <w:sz w:val="18"/>
              </w:rPr>
              <w:t>Priority</w:t>
            </w:r>
          </w:p>
        </w:tc>
        <w:tc>
          <w:tcPr>
            <w:tcW w:type="dxa" w:w="5112"/>
            <w:shd w:fill="17365D"/>
            <w:vAlign w:val="center"/>
            <w:tcMar>
              <w:top w:w="100" w:type="dxa"/>
              <w:start w:w="110" w:type="dxa"/>
              <w:bottom w:w="100" w:type="dxa"/>
              <w:end w:w="110" w:type="dxa"/>
            </w:tcMar>
          </w:tcPr>
          <w:p>
            <w:r>
              <w:rPr>
                <w:b/>
                <w:color w:val="FFFFFF"/>
                <w:sz w:val="18"/>
              </w:rPr>
              <w:t>Change</w:t>
            </w:r>
          </w:p>
        </w:tc>
        <w:tc>
          <w:tcPr>
            <w:tcW w:type="dxa" w:w="2952"/>
            <w:shd w:fill="17365D"/>
            <w:vAlign w:val="center"/>
            <w:tcMar>
              <w:top w:w="100" w:type="dxa"/>
              <w:start w:w="110" w:type="dxa"/>
              <w:bottom w:w="100" w:type="dxa"/>
              <w:end w:w="110" w:type="dxa"/>
            </w:tcMar>
          </w:tcPr>
          <w:p>
            <w:r>
              <w:rPr>
                <w:b/>
                <w:color w:val="FFFFFF"/>
                <w:sz w:val="18"/>
              </w:rPr>
              <w:t>Reason</w:t>
            </w:r>
          </w:p>
        </w:tc>
      </w:tr>
      <w:tr>
        <w:tc>
          <w:tcPr>
            <w:tcW w:type="dxa" w:w="1080"/>
            <w:vAlign w:val="center"/>
            <w:shd w:fill="FFFFFF"/>
            <w:tcMar>
              <w:top w:w="100" w:type="dxa"/>
              <w:start w:w="110" w:type="dxa"/>
              <w:bottom w:w="100" w:type="dxa"/>
              <w:end w:w="110" w:type="dxa"/>
            </w:tcMar>
          </w:tcPr>
          <w:p>
            <w:pPr>
              <w:spacing w:after="20"/>
            </w:pPr>
            <w:r>
              <w:rPr>
                <w:sz w:val="17"/>
              </w:rPr>
              <w:t>1</w:t>
            </w:r>
          </w:p>
        </w:tc>
        <w:tc>
          <w:tcPr>
            <w:tcW w:type="dxa" w:w="5112"/>
            <w:vAlign w:val="center"/>
            <w:shd w:fill="FFFFFF"/>
            <w:tcMar>
              <w:top w:w="100" w:type="dxa"/>
              <w:start w:w="110" w:type="dxa"/>
              <w:bottom w:w="100" w:type="dxa"/>
              <w:end w:w="110" w:type="dxa"/>
            </w:tcMar>
          </w:tcPr>
          <w:p>
            <w:pPr>
              <w:spacing w:after="20"/>
            </w:pPr>
            <w:r>
              <w:rPr>
                <w:sz w:val="17"/>
              </w:rPr>
              <w:t>Replace broad Bedrock and log permissions with resource-scoped actions.</w:t>
            </w:r>
          </w:p>
        </w:tc>
        <w:tc>
          <w:tcPr>
            <w:tcW w:type="dxa" w:w="2952"/>
            <w:vAlign w:val="center"/>
            <w:shd w:fill="FFFFFF"/>
            <w:tcMar>
              <w:top w:w="100" w:type="dxa"/>
              <w:start w:w="110" w:type="dxa"/>
              <w:bottom w:w="100" w:type="dxa"/>
              <w:end w:w="110" w:type="dxa"/>
            </w:tcMar>
          </w:tcPr>
          <w:p>
            <w:pPr>
              <w:spacing w:after="20"/>
            </w:pPr>
            <w:r>
              <w:rPr>
                <w:sz w:val="17"/>
              </w:rPr>
              <w:t>Reduce compromise blast radius.</w:t>
            </w:r>
          </w:p>
        </w:tc>
      </w:tr>
      <w:tr>
        <w:tc>
          <w:tcPr>
            <w:tcW w:type="dxa" w:w="1080"/>
            <w:vAlign w:val="center"/>
            <w:shd w:fill="EDF3F8"/>
            <w:tcMar>
              <w:top w:w="100" w:type="dxa"/>
              <w:start w:w="110" w:type="dxa"/>
              <w:bottom w:w="100" w:type="dxa"/>
              <w:end w:w="110" w:type="dxa"/>
            </w:tcMar>
          </w:tcPr>
          <w:p>
            <w:pPr>
              <w:spacing w:after="20"/>
            </w:pPr>
            <w:r>
              <w:rPr>
                <w:sz w:val="17"/>
              </w:rPr>
              <w:t>2</w:t>
            </w:r>
          </w:p>
        </w:tc>
        <w:tc>
          <w:tcPr>
            <w:tcW w:type="dxa" w:w="5112"/>
            <w:vAlign w:val="center"/>
            <w:shd w:fill="EDF3F8"/>
            <w:tcMar>
              <w:top w:w="100" w:type="dxa"/>
              <w:start w:w="110" w:type="dxa"/>
              <w:bottom w:w="100" w:type="dxa"/>
              <w:end w:w="110" w:type="dxa"/>
            </w:tcMar>
          </w:tcPr>
          <w:p>
            <w:pPr>
              <w:spacing w:after="20"/>
            </w:pPr>
            <w:r>
              <w:rPr>
                <w:sz w:val="17"/>
              </w:rPr>
              <w:t>Enable DynamoDB PITR and retain critical production buckets and tables.</w:t>
            </w:r>
          </w:p>
        </w:tc>
        <w:tc>
          <w:tcPr>
            <w:tcW w:type="dxa" w:w="2952"/>
            <w:vAlign w:val="center"/>
            <w:shd w:fill="EDF3F8"/>
            <w:tcMar>
              <w:top w:w="100" w:type="dxa"/>
              <w:start w:w="110" w:type="dxa"/>
              <w:bottom w:w="100" w:type="dxa"/>
              <w:end w:w="110" w:type="dxa"/>
            </w:tcMar>
          </w:tcPr>
          <w:p>
            <w:pPr>
              <w:spacing w:after="20"/>
            </w:pPr>
            <w:r>
              <w:rPr>
                <w:sz w:val="17"/>
              </w:rPr>
              <w:t>Prevent avoidable data loss.</w:t>
            </w:r>
          </w:p>
        </w:tc>
      </w:tr>
      <w:tr>
        <w:tc>
          <w:tcPr>
            <w:tcW w:type="dxa" w:w="1080"/>
            <w:vAlign w:val="center"/>
            <w:shd w:fill="FFFFFF"/>
            <w:tcMar>
              <w:top w:w="100" w:type="dxa"/>
              <w:start w:w="110" w:type="dxa"/>
              <w:bottom w:w="100" w:type="dxa"/>
              <w:end w:w="110" w:type="dxa"/>
            </w:tcMar>
          </w:tcPr>
          <w:p>
            <w:pPr>
              <w:spacing w:after="20"/>
            </w:pPr>
            <w:r>
              <w:rPr>
                <w:sz w:val="17"/>
              </w:rPr>
              <w:t>3</w:t>
            </w:r>
          </w:p>
        </w:tc>
        <w:tc>
          <w:tcPr>
            <w:tcW w:type="dxa" w:w="5112"/>
            <w:vAlign w:val="center"/>
            <w:shd w:fill="FFFFFF"/>
            <w:tcMar>
              <w:top w:w="100" w:type="dxa"/>
              <w:start w:w="110" w:type="dxa"/>
              <w:bottom w:w="100" w:type="dxa"/>
              <w:end w:w="110" w:type="dxa"/>
            </w:tcMar>
          </w:tcPr>
          <w:p>
            <w:pPr>
              <w:spacing w:after="20"/>
            </w:pPr>
            <w:r>
              <w:rPr>
                <w:sz w:val="17"/>
              </w:rPr>
              <w:t>Restrict CORS and direct browser IAM permissions.</w:t>
            </w:r>
          </w:p>
        </w:tc>
        <w:tc>
          <w:tcPr>
            <w:tcW w:type="dxa" w:w="2952"/>
            <w:vAlign w:val="center"/>
            <w:shd w:fill="FFFFFF"/>
            <w:tcMar>
              <w:top w:w="100" w:type="dxa"/>
              <w:start w:w="110" w:type="dxa"/>
              <w:bottom w:w="100" w:type="dxa"/>
              <w:end w:w="110" w:type="dxa"/>
            </w:tcMar>
          </w:tcPr>
          <w:p>
            <w:pPr>
              <w:spacing w:after="20"/>
            </w:pPr>
            <w:r>
              <w:rPr>
                <w:sz w:val="17"/>
              </w:rPr>
              <w:t>Protect the second trust path.</w:t>
            </w:r>
          </w:p>
        </w:tc>
      </w:tr>
      <w:tr>
        <w:tc>
          <w:tcPr>
            <w:tcW w:type="dxa" w:w="1080"/>
            <w:vAlign w:val="center"/>
            <w:shd w:fill="EDF3F8"/>
            <w:tcMar>
              <w:top w:w="100" w:type="dxa"/>
              <w:start w:w="110" w:type="dxa"/>
              <w:bottom w:w="100" w:type="dxa"/>
              <w:end w:w="110" w:type="dxa"/>
            </w:tcMar>
          </w:tcPr>
          <w:p>
            <w:pPr>
              <w:spacing w:after="20"/>
            </w:pPr>
            <w:r>
              <w:rPr>
                <w:sz w:val="17"/>
              </w:rPr>
              <w:t>4</w:t>
            </w:r>
          </w:p>
        </w:tc>
        <w:tc>
          <w:tcPr>
            <w:tcW w:type="dxa" w:w="5112"/>
            <w:vAlign w:val="center"/>
            <w:shd w:fill="EDF3F8"/>
            <w:tcMar>
              <w:top w:w="100" w:type="dxa"/>
              <w:start w:w="110" w:type="dxa"/>
              <w:bottom w:w="100" w:type="dxa"/>
              <w:end w:w="110" w:type="dxa"/>
            </w:tcMar>
          </w:tcPr>
          <w:p>
            <w:pPr>
              <w:spacing w:after="20"/>
            </w:pPr>
            <w:r>
              <w:rPr>
                <w:sz w:val="17"/>
              </w:rPr>
              <w:t>Add evaluation and security gates before deployment.</w:t>
            </w:r>
          </w:p>
        </w:tc>
        <w:tc>
          <w:tcPr>
            <w:tcW w:type="dxa" w:w="2952"/>
            <w:vAlign w:val="center"/>
            <w:shd w:fill="EDF3F8"/>
            <w:tcMar>
              <w:top w:w="100" w:type="dxa"/>
              <w:start w:w="110" w:type="dxa"/>
              <w:bottom w:w="100" w:type="dxa"/>
              <w:end w:w="110" w:type="dxa"/>
            </w:tcMar>
          </w:tcPr>
          <w:p>
            <w:pPr>
              <w:spacing w:after="20"/>
            </w:pPr>
            <w:r>
              <w:rPr>
                <w:sz w:val="17"/>
              </w:rPr>
              <w:t>Prevent unmeasured prompt, model or retrieval regressions.</w:t>
            </w:r>
          </w:p>
        </w:tc>
      </w:tr>
      <w:tr>
        <w:tc>
          <w:tcPr>
            <w:tcW w:type="dxa" w:w="1080"/>
            <w:vAlign w:val="center"/>
            <w:shd w:fill="FFFFFF"/>
            <w:tcMar>
              <w:top w:w="100" w:type="dxa"/>
              <w:start w:w="110" w:type="dxa"/>
              <w:bottom w:w="100" w:type="dxa"/>
              <w:end w:w="110" w:type="dxa"/>
            </w:tcMar>
          </w:tcPr>
          <w:p>
            <w:pPr>
              <w:spacing w:after="20"/>
            </w:pPr>
            <w:r>
              <w:rPr>
                <w:sz w:val="17"/>
              </w:rPr>
              <w:t>5</w:t>
            </w:r>
          </w:p>
        </w:tc>
        <w:tc>
          <w:tcPr>
            <w:tcW w:type="dxa" w:w="5112"/>
            <w:vAlign w:val="center"/>
            <w:shd w:fill="FFFFFF"/>
            <w:tcMar>
              <w:top w:w="100" w:type="dxa"/>
              <w:start w:w="110" w:type="dxa"/>
              <w:bottom w:w="100" w:type="dxa"/>
              <w:end w:w="110" w:type="dxa"/>
            </w:tcMar>
          </w:tcPr>
          <w:p>
            <w:pPr>
              <w:spacing w:after="20"/>
            </w:pPr>
            <w:r>
              <w:rPr>
                <w:sz w:val="17"/>
              </w:rPr>
              <w:t>Move long-running work to queues with idempotency and DLQs.</w:t>
            </w:r>
          </w:p>
        </w:tc>
        <w:tc>
          <w:tcPr>
            <w:tcW w:type="dxa" w:w="2952"/>
            <w:vAlign w:val="center"/>
            <w:shd w:fill="FFFFFF"/>
            <w:tcMar>
              <w:top w:w="100" w:type="dxa"/>
              <w:start w:w="110" w:type="dxa"/>
              <w:bottom w:w="100" w:type="dxa"/>
              <w:end w:w="110" w:type="dxa"/>
            </w:tcMar>
          </w:tcPr>
          <w:p>
            <w:pPr>
              <w:spacing w:after="20"/>
            </w:pPr>
            <w:r>
              <w:rPr>
                <w:sz w:val="17"/>
              </w:rPr>
              <w:t>Make retries and failure states reliable.</w:t>
            </w:r>
          </w:p>
        </w:tc>
      </w:tr>
      <w:tr>
        <w:tc>
          <w:tcPr>
            <w:tcW w:type="dxa" w:w="1080"/>
            <w:vAlign w:val="center"/>
            <w:shd w:fill="EDF3F8"/>
            <w:tcMar>
              <w:top w:w="100" w:type="dxa"/>
              <w:start w:w="110" w:type="dxa"/>
              <w:bottom w:w="100" w:type="dxa"/>
              <w:end w:w="110" w:type="dxa"/>
            </w:tcMar>
          </w:tcPr>
          <w:p>
            <w:pPr>
              <w:spacing w:after="20"/>
            </w:pPr>
            <w:r>
              <w:rPr>
                <w:sz w:val="17"/>
              </w:rPr>
              <w:t>6</w:t>
            </w:r>
          </w:p>
        </w:tc>
        <w:tc>
          <w:tcPr>
            <w:tcW w:type="dxa" w:w="5112"/>
            <w:vAlign w:val="center"/>
            <w:shd w:fill="EDF3F8"/>
            <w:tcMar>
              <w:top w:w="100" w:type="dxa"/>
              <w:start w:w="110" w:type="dxa"/>
              <w:bottom w:w="100" w:type="dxa"/>
              <w:end w:w="110" w:type="dxa"/>
            </w:tcMar>
          </w:tcPr>
          <w:p>
            <w:pPr>
              <w:spacing w:after="20"/>
            </w:pPr>
            <w:r>
              <w:rPr>
                <w:sz w:val="17"/>
              </w:rPr>
              <w:t>Govern knowledge ingestion and retrieval authorization.</w:t>
            </w:r>
          </w:p>
        </w:tc>
        <w:tc>
          <w:tcPr>
            <w:tcW w:type="dxa" w:w="2952"/>
            <w:vAlign w:val="center"/>
            <w:shd w:fill="EDF3F8"/>
            <w:tcMar>
              <w:top w:w="100" w:type="dxa"/>
              <w:start w:w="110" w:type="dxa"/>
              <w:bottom w:w="100" w:type="dxa"/>
              <w:end w:w="110" w:type="dxa"/>
            </w:tcMar>
          </w:tcPr>
          <w:p>
            <w:pPr>
              <w:spacing w:after="20"/>
            </w:pPr>
            <w:r>
              <w:rPr>
                <w:sz w:val="17"/>
              </w:rPr>
              <w:t>Protect confidentiality and answer provenance.</w:t>
            </w:r>
          </w:p>
        </w:tc>
      </w:tr>
    </w:tbl>
    <w:p>
      <w:pPr>
        <w:spacing w:after="20"/>
      </w:pPr>
    </w:p>
    <w:p>
      <w:pPr>
        <w:pStyle w:val="Heading1"/>
      </w:pPr>
      <w:r>
        <w:t>8 Continuous verification</w:t>
      </w:r>
    </w:p>
    <w:p>
      <w:pPr>
        <w:pStyle w:val="Heading2"/>
      </w:pPr>
      <w:r>
        <w:t>8.1 Verification strategy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17365D"/>
            <w:vAlign w:val="center"/>
            <w:tcMar>
              <w:top w:w="100" w:type="dxa"/>
              <w:start w:w="110" w:type="dxa"/>
              <w:bottom w:w="100" w:type="dxa"/>
              <w:end w:w="110" w:type="dxa"/>
            </w:tcMar>
          </w:tcPr>
          <w:p>
            <w:r>
              <w:rPr>
                <w:b/>
                <w:color w:val="FFFFFF"/>
                <w:sz w:val="18"/>
              </w:rPr>
              <w:t>Test layer</w:t>
            </w:r>
          </w:p>
        </w:tc>
        <w:tc>
          <w:tcPr>
            <w:tcW w:type="dxa" w:w="4464"/>
            <w:shd w:fill="17365D"/>
            <w:vAlign w:val="center"/>
            <w:tcMar>
              <w:top w:w="100" w:type="dxa"/>
              <w:start w:w="110" w:type="dxa"/>
              <w:bottom w:w="100" w:type="dxa"/>
              <w:end w:w="110" w:type="dxa"/>
            </w:tcMar>
          </w:tcPr>
          <w:p>
            <w:r>
              <w:rPr>
                <w:b/>
                <w:color w:val="FFFFFF"/>
                <w:sz w:val="18"/>
              </w:rPr>
              <w:t>Examples</w:t>
            </w:r>
          </w:p>
        </w:tc>
        <w:tc>
          <w:tcPr>
            <w:tcW w:type="dxa" w:w="3096"/>
            <w:shd w:fill="17365D"/>
            <w:vAlign w:val="center"/>
            <w:tcMar>
              <w:top w:w="100" w:type="dxa"/>
              <w:start w:w="110" w:type="dxa"/>
              <w:bottom w:w="100" w:type="dxa"/>
              <w:end w:w="110" w:type="dxa"/>
            </w:tcMar>
          </w:tcPr>
          <w:p>
            <w:r>
              <w:rPr>
                <w:b/>
                <w:color w:val="FFFFFF"/>
                <w:sz w:val="18"/>
              </w:rPr>
              <w:t>Release evidence</w:t>
            </w:r>
          </w:p>
        </w:tc>
      </w:tr>
      <w:tr>
        <w:tc>
          <w:tcPr>
            <w:tcW w:type="dxa" w:w="1584"/>
            <w:vAlign w:val="center"/>
            <w:shd w:fill="FFFFFF"/>
            <w:tcMar>
              <w:top w:w="100" w:type="dxa"/>
              <w:start w:w="110" w:type="dxa"/>
              <w:bottom w:w="100" w:type="dxa"/>
              <w:end w:w="110" w:type="dxa"/>
            </w:tcMar>
          </w:tcPr>
          <w:p>
            <w:pPr>
              <w:spacing w:after="20"/>
            </w:pPr>
            <w:r>
              <w:rPr>
                <w:sz w:val="17"/>
              </w:rPr>
              <w:t>Contract</w:t>
            </w:r>
          </w:p>
        </w:tc>
        <w:tc>
          <w:tcPr>
            <w:tcW w:type="dxa" w:w="4464"/>
            <w:vAlign w:val="center"/>
            <w:shd w:fill="FFFFFF"/>
            <w:tcMar>
              <w:top w:w="100" w:type="dxa"/>
              <w:start w:w="110" w:type="dxa"/>
              <w:bottom w:w="100" w:type="dxa"/>
              <w:end w:w="110" w:type="dxa"/>
            </w:tcMar>
          </w:tcPr>
          <w:p>
            <w:pPr>
              <w:spacing w:after="20"/>
            </w:pPr>
            <w:r>
              <w:rPr>
                <w:sz w:val="17"/>
              </w:rPr>
              <w:t>Schema, status codes, idempotency and ownership</w:t>
            </w:r>
          </w:p>
        </w:tc>
        <w:tc>
          <w:tcPr>
            <w:tcW w:type="dxa" w:w="3096"/>
            <w:vAlign w:val="center"/>
            <w:shd w:fill="FFFFFF"/>
            <w:tcMar>
              <w:top w:w="100" w:type="dxa"/>
              <w:start w:w="110" w:type="dxa"/>
              <w:bottom w:w="100" w:type="dxa"/>
              <w:end w:w="110" w:type="dxa"/>
            </w:tcMar>
          </w:tcPr>
          <w:p>
            <w:pPr>
              <w:spacing w:after="20"/>
            </w:pPr>
            <w:r>
              <w:rPr>
                <w:sz w:val="17"/>
              </w:rPr>
              <w:t>Automated test report</w:t>
            </w:r>
          </w:p>
        </w:tc>
      </w:tr>
      <w:tr>
        <w:tc>
          <w:tcPr>
            <w:tcW w:type="dxa" w:w="1584"/>
            <w:vAlign w:val="center"/>
            <w:shd w:fill="EDF3F8"/>
            <w:tcMar>
              <w:top w:w="100" w:type="dxa"/>
              <w:start w:w="110" w:type="dxa"/>
              <w:bottom w:w="100" w:type="dxa"/>
              <w:end w:w="110" w:type="dxa"/>
            </w:tcMar>
          </w:tcPr>
          <w:p>
            <w:pPr>
              <w:spacing w:after="20"/>
            </w:pPr>
            <w:r>
              <w:rPr>
                <w:sz w:val="17"/>
              </w:rPr>
              <w:t>Security</w:t>
            </w:r>
          </w:p>
        </w:tc>
        <w:tc>
          <w:tcPr>
            <w:tcW w:type="dxa" w:w="4464"/>
            <w:vAlign w:val="center"/>
            <w:shd w:fill="EDF3F8"/>
            <w:tcMar>
              <w:top w:w="100" w:type="dxa"/>
              <w:start w:w="110" w:type="dxa"/>
              <w:bottom w:w="100" w:type="dxa"/>
              <w:end w:w="110" w:type="dxa"/>
            </w:tcMar>
          </w:tcPr>
          <w:p>
            <w:pPr>
              <w:spacing w:after="20"/>
            </w:pPr>
            <w:r>
              <w:rPr>
                <w:sz w:val="17"/>
              </w:rPr>
              <w:t>Prompt injection, cross-user access, tool escalation and log masking</w:t>
            </w:r>
          </w:p>
        </w:tc>
        <w:tc>
          <w:tcPr>
            <w:tcW w:type="dxa" w:w="3096"/>
            <w:vAlign w:val="center"/>
            <w:shd w:fill="EDF3F8"/>
            <w:tcMar>
              <w:top w:w="100" w:type="dxa"/>
              <w:start w:w="110" w:type="dxa"/>
              <w:bottom w:w="100" w:type="dxa"/>
              <w:end w:w="110" w:type="dxa"/>
            </w:tcMar>
          </w:tcPr>
          <w:p>
            <w:pPr>
              <w:spacing w:after="20"/>
            </w:pPr>
            <w:r>
              <w:rPr>
                <w:sz w:val="17"/>
              </w:rPr>
              <w:t>Security test results and exceptions</w:t>
            </w:r>
          </w:p>
        </w:tc>
      </w:tr>
      <w:tr>
        <w:tc>
          <w:tcPr>
            <w:tcW w:type="dxa" w:w="1584"/>
            <w:vAlign w:val="center"/>
            <w:shd w:fill="FFFFFF"/>
            <w:tcMar>
              <w:top w:w="100" w:type="dxa"/>
              <w:start w:w="110" w:type="dxa"/>
              <w:bottom w:w="100" w:type="dxa"/>
              <w:end w:w="110" w:type="dxa"/>
            </w:tcMar>
          </w:tcPr>
          <w:p>
            <w:pPr>
              <w:spacing w:after="20"/>
            </w:pPr>
            <w:r>
              <w:rPr>
                <w:sz w:val="17"/>
              </w:rPr>
              <w:t>RAG</w:t>
            </w:r>
          </w:p>
        </w:tc>
        <w:tc>
          <w:tcPr>
            <w:tcW w:type="dxa" w:w="4464"/>
            <w:vAlign w:val="center"/>
            <w:shd w:fill="FFFFFF"/>
            <w:tcMar>
              <w:top w:w="100" w:type="dxa"/>
              <w:start w:w="110" w:type="dxa"/>
              <w:bottom w:w="100" w:type="dxa"/>
              <w:end w:w="110" w:type="dxa"/>
            </w:tcMar>
          </w:tcPr>
          <w:p>
            <w:pPr>
              <w:spacing w:after="20"/>
            </w:pPr>
            <w:r>
              <w:rPr>
                <w:sz w:val="17"/>
              </w:rPr>
              <w:t>Retrieval precision, citation support and metadata isolation</w:t>
            </w:r>
          </w:p>
        </w:tc>
        <w:tc>
          <w:tcPr>
            <w:tcW w:type="dxa" w:w="3096"/>
            <w:vAlign w:val="center"/>
            <w:shd w:fill="FFFFFF"/>
            <w:tcMar>
              <w:top w:w="100" w:type="dxa"/>
              <w:start w:w="110" w:type="dxa"/>
              <w:bottom w:w="100" w:type="dxa"/>
              <w:end w:w="110" w:type="dxa"/>
            </w:tcMar>
          </w:tcPr>
          <w:p>
            <w:pPr>
              <w:spacing w:after="20"/>
            </w:pPr>
            <w:r>
              <w:rPr>
                <w:sz w:val="17"/>
              </w:rPr>
              <w:t>Golden-query evaluation</w:t>
            </w:r>
          </w:p>
        </w:tc>
      </w:tr>
      <w:tr>
        <w:tc>
          <w:tcPr>
            <w:tcW w:type="dxa" w:w="1584"/>
            <w:vAlign w:val="center"/>
            <w:shd w:fill="EDF3F8"/>
            <w:tcMar>
              <w:top w:w="100" w:type="dxa"/>
              <w:start w:w="110" w:type="dxa"/>
              <w:bottom w:w="100" w:type="dxa"/>
              <w:end w:w="110" w:type="dxa"/>
            </w:tcMar>
          </w:tcPr>
          <w:p>
            <w:pPr>
              <w:spacing w:after="20"/>
            </w:pPr>
            <w:r>
              <w:rPr>
                <w:sz w:val="17"/>
              </w:rPr>
              <w:t>Model quality</w:t>
            </w:r>
          </w:p>
        </w:tc>
        <w:tc>
          <w:tcPr>
            <w:tcW w:type="dxa" w:w="4464"/>
            <w:vAlign w:val="center"/>
            <w:shd w:fill="EDF3F8"/>
            <w:tcMar>
              <w:top w:w="100" w:type="dxa"/>
              <w:start w:w="110" w:type="dxa"/>
              <w:bottom w:w="100" w:type="dxa"/>
              <w:end w:w="110" w:type="dxa"/>
            </w:tcMar>
          </w:tcPr>
          <w:p>
            <w:pPr>
              <w:spacing w:after="20"/>
            </w:pPr>
            <w:r>
              <w:rPr>
                <w:sz w:val="17"/>
              </w:rPr>
              <w:t>Correctness, groundedness, harmful output and refusal quality</w:t>
            </w:r>
          </w:p>
        </w:tc>
        <w:tc>
          <w:tcPr>
            <w:tcW w:type="dxa" w:w="3096"/>
            <w:vAlign w:val="center"/>
            <w:shd w:fill="EDF3F8"/>
            <w:tcMar>
              <w:top w:w="100" w:type="dxa"/>
              <w:start w:w="110" w:type="dxa"/>
              <w:bottom w:w="100" w:type="dxa"/>
              <w:end w:w="110" w:type="dxa"/>
            </w:tcMar>
          </w:tcPr>
          <w:p>
            <w:pPr>
              <w:spacing w:after="20"/>
            </w:pPr>
            <w:r>
              <w:rPr>
                <w:sz w:val="17"/>
              </w:rPr>
              <w:t>Versioned evaluation dataset and score</w:t>
            </w:r>
          </w:p>
        </w:tc>
      </w:tr>
      <w:tr>
        <w:tc>
          <w:tcPr>
            <w:tcW w:type="dxa" w:w="1584"/>
            <w:vAlign w:val="center"/>
            <w:shd w:fill="FFFFFF"/>
            <w:tcMar>
              <w:top w:w="100" w:type="dxa"/>
              <w:start w:w="110" w:type="dxa"/>
              <w:bottom w:w="100" w:type="dxa"/>
              <w:end w:w="110" w:type="dxa"/>
            </w:tcMar>
          </w:tcPr>
          <w:p>
            <w:pPr>
              <w:spacing w:after="20"/>
            </w:pPr>
            <w:r>
              <w:rPr>
                <w:sz w:val="17"/>
              </w:rPr>
              <w:t>Reliability</w:t>
            </w:r>
          </w:p>
        </w:tc>
        <w:tc>
          <w:tcPr>
            <w:tcW w:type="dxa" w:w="4464"/>
            <w:vAlign w:val="center"/>
            <w:shd w:fill="FFFFFF"/>
            <w:tcMar>
              <w:top w:w="100" w:type="dxa"/>
              <w:start w:w="110" w:type="dxa"/>
              <w:bottom w:w="100" w:type="dxa"/>
              <w:end w:w="110" w:type="dxa"/>
            </w:tcMar>
          </w:tcPr>
          <w:p>
            <w:pPr>
              <w:spacing w:after="20"/>
            </w:pPr>
            <w:r>
              <w:rPr>
                <w:sz w:val="17"/>
              </w:rPr>
              <w:t>Throttling, timeout, dependency failure, duplicate delivery and restore</w:t>
            </w:r>
          </w:p>
        </w:tc>
        <w:tc>
          <w:tcPr>
            <w:tcW w:type="dxa" w:w="3096"/>
            <w:vAlign w:val="center"/>
            <w:shd w:fill="FFFFFF"/>
            <w:tcMar>
              <w:top w:w="100" w:type="dxa"/>
              <w:start w:w="110" w:type="dxa"/>
              <w:bottom w:w="100" w:type="dxa"/>
              <w:end w:w="110" w:type="dxa"/>
            </w:tcMar>
          </w:tcPr>
          <w:p>
            <w:pPr>
              <w:spacing w:after="20"/>
            </w:pPr>
            <w:r>
              <w:rPr>
                <w:sz w:val="17"/>
              </w:rPr>
              <w:t>Failure-injection and recovery report</w:t>
            </w:r>
          </w:p>
        </w:tc>
      </w:tr>
      <w:tr>
        <w:tc>
          <w:tcPr>
            <w:tcW w:type="dxa" w:w="1584"/>
            <w:vAlign w:val="center"/>
            <w:shd w:fill="EDF3F8"/>
            <w:tcMar>
              <w:top w:w="100" w:type="dxa"/>
              <w:start w:w="110" w:type="dxa"/>
              <w:bottom w:w="100" w:type="dxa"/>
              <w:end w:w="110" w:type="dxa"/>
            </w:tcMar>
          </w:tcPr>
          <w:p>
            <w:pPr>
              <w:spacing w:after="20"/>
            </w:pPr>
            <w:r>
              <w:rPr>
                <w:sz w:val="17"/>
              </w:rPr>
              <w:t>Performance</w:t>
            </w:r>
          </w:p>
        </w:tc>
        <w:tc>
          <w:tcPr>
            <w:tcW w:type="dxa" w:w="4464"/>
            <w:vAlign w:val="center"/>
            <w:shd w:fill="EDF3F8"/>
            <w:tcMar>
              <w:top w:w="100" w:type="dxa"/>
              <w:start w:w="110" w:type="dxa"/>
              <w:bottom w:w="100" w:type="dxa"/>
              <w:end w:w="110" w:type="dxa"/>
            </w:tcMar>
          </w:tcPr>
          <w:p>
            <w:pPr>
              <w:spacing w:after="20"/>
            </w:pPr>
            <w:r>
              <w:rPr>
                <w:sz w:val="17"/>
              </w:rPr>
              <w:t>Time to first token, API latency, concurrency and retrieval latency</w:t>
            </w:r>
          </w:p>
        </w:tc>
        <w:tc>
          <w:tcPr>
            <w:tcW w:type="dxa" w:w="3096"/>
            <w:vAlign w:val="center"/>
            <w:shd w:fill="EDF3F8"/>
            <w:tcMar>
              <w:top w:w="100" w:type="dxa"/>
              <w:start w:w="110" w:type="dxa"/>
              <w:bottom w:w="100" w:type="dxa"/>
              <w:end w:w="110" w:type="dxa"/>
            </w:tcMar>
          </w:tcPr>
          <w:p>
            <w:pPr>
              <w:spacing w:after="20"/>
            </w:pPr>
            <w:r>
              <w:rPr>
                <w:sz w:val="17"/>
              </w:rPr>
              <w:t>Load-test report</w:t>
            </w:r>
          </w:p>
        </w:tc>
      </w:tr>
      <w:tr>
        <w:tc>
          <w:tcPr>
            <w:tcW w:type="dxa" w:w="1584"/>
            <w:vAlign w:val="center"/>
            <w:shd w:fill="FFFFFF"/>
            <w:tcMar>
              <w:top w:w="100" w:type="dxa"/>
              <w:start w:w="110" w:type="dxa"/>
              <w:bottom w:w="100" w:type="dxa"/>
              <w:end w:w="110" w:type="dxa"/>
            </w:tcMar>
          </w:tcPr>
          <w:p>
            <w:pPr>
              <w:spacing w:after="20"/>
            </w:pPr>
            <w:r>
              <w:rPr>
                <w:sz w:val="17"/>
              </w:rPr>
              <w:t>Cost</w:t>
            </w:r>
          </w:p>
        </w:tc>
        <w:tc>
          <w:tcPr>
            <w:tcW w:type="dxa" w:w="4464"/>
            <w:vAlign w:val="center"/>
            <w:shd w:fill="FFFFFF"/>
            <w:tcMar>
              <w:top w:w="100" w:type="dxa"/>
              <w:start w:w="110" w:type="dxa"/>
              <w:bottom w:w="100" w:type="dxa"/>
              <w:end w:w="110" w:type="dxa"/>
            </w:tcMar>
          </w:tcPr>
          <w:p>
            <w:pPr>
              <w:spacing w:after="20"/>
            </w:pPr>
            <w:r>
              <w:rPr>
                <w:sz w:val="17"/>
              </w:rPr>
              <w:t>Tokens, tool calls and cost per successful outcome</w:t>
            </w:r>
          </w:p>
        </w:tc>
        <w:tc>
          <w:tcPr>
            <w:tcW w:type="dxa" w:w="3096"/>
            <w:vAlign w:val="center"/>
            <w:shd w:fill="FFFFFF"/>
            <w:tcMar>
              <w:top w:w="100" w:type="dxa"/>
              <w:start w:w="110" w:type="dxa"/>
              <w:bottom w:w="100" w:type="dxa"/>
              <w:end w:w="110" w:type="dxa"/>
            </w:tcMar>
          </w:tcPr>
          <w:p>
            <w:pPr>
              <w:spacing w:after="20"/>
            </w:pPr>
            <w:r>
              <w:rPr>
                <w:sz w:val="17"/>
              </w:rPr>
              <w:t>Budget comparison and approval</w:t>
            </w:r>
          </w:p>
        </w:tc>
      </w:tr>
    </w:tbl>
    <w:p>
      <w:pPr>
        <w:spacing w:after="20"/>
      </w:pPr>
    </w:p>
    <w:p>
      <w:pPr>
        <w:pStyle w:val="Heading2"/>
      </w:pPr>
      <w:r>
        <w:t>8.2 Suggested measurable contracts</w:t>
      </w:r>
    </w:p>
    <w:p>
      <w:pPr>
        <w:pStyle w:val="ListBullet"/>
      </w:pPr>
      <w:r>
        <w:t>All protected API operations reject missing or invalid identity.</w:t>
      </w:r>
    </w:p>
    <w:p>
      <w:pPr>
        <w:pStyle w:val="ListBullet"/>
      </w:pPr>
      <w:r>
        <w:t>Authorization tests produce zero successful cross-user or cross-scope reads.</w:t>
      </w:r>
    </w:p>
    <w:p>
      <w:pPr>
        <w:pStyle w:val="ListBullet"/>
      </w:pPr>
      <w:r>
        <w:t>Non-generation REST endpoints maintain P95 server-side latency of no more than 1,000 milliseconds under the defined load, with an error rate below 1 percent.</w:t>
      </w:r>
    </w:p>
    <w:p>
      <w:pPr>
        <w:pStyle w:val="ListBullet"/>
      </w:pPr>
      <w:r>
        <w:t>Every governed model response records the request, user, use case, model, prompt and guardrail versions.</w:t>
      </w:r>
    </w:p>
    <w:p>
      <w:pPr>
        <w:pStyle w:val="ListBullet"/>
      </w:pPr>
      <w:r>
        <w:t>Every grounded material claim links to an actually retrieved passage.</w:t>
      </w:r>
    </w:p>
    <w:p>
      <w:pPr>
        <w:pStyle w:val="ListBullet"/>
      </w:pPr>
      <w:r>
        <w:t>Every consequential agent action has an approval record before execution.</w:t>
      </w:r>
    </w:p>
    <w:p>
      <w:pPr>
        <w:pStyle w:val="ListBullet"/>
      </w:pPr>
      <w:r>
        <w:t>Critical data restoration meets the documented recovery time and recovery point objectives.</w:t>
      </w:r>
    </w:p>
    <w:p>
      <w:pPr>
        <w:pStyle w:val="ListBullet"/>
      </w:pPr>
      <w:r>
        <w:t>Every model invocation is attributable to a user, model and use case.</w:t>
      </w:r>
    </w:p>
    <w:p>
      <w:pPr>
        <w:pStyle w:val="Heading2"/>
      </w:pPr>
      <w:r>
        <w:t>8.3 Release gate</w:t>
      </w:r>
    </w:p>
    <w:p>
      <w:r>
        <w:t>A release may proceed only when API contracts, infrastructure checks, least-privilege review, adversarial security tests, RAG authorization tests, quality evaluation, performance limits, estimated cost and rollback readiness meet their approved thresholds. The gate records the exact code, prompt, model, guardrail, dataset and knowledge versions evaluated.</w:t>
      </w:r>
    </w:p>
    <w:p>
      <w:pPr>
        <w:pStyle w:val="Heading1"/>
      </w:pPr>
      <w:r>
        <w:t>9 Production evidence and operations</w:t>
      </w:r>
    </w:p>
    <w:p>
      <w:pPr>
        <w:pStyle w:val="Heading2"/>
      </w:pPr>
      <w:r>
        <w:t>9.1 Evidence record</w:t>
      </w:r>
    </w:p>
    <w:p>
      <w:r>
        <w:t>A governed interaction should record a request identifier, authenticated actor, use-case version, model identifier, prompt version, guardrail version, knowledge-base identifier, retrieved passage identifiers, tool calls, token usage, latency, validation status and completion status. Sensitive prompt content should be excluded or masked according to policy.</w:t>
      </w:r>
    </w:p>
    <w:p>
      <w:pPr>
        <w:pStyle w:val="Heading2"/>
      </w:pPr>
      <w:r>
        <w:t>9.2 Operational dashboards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7365D"/>
            <w:vAlign w:val="center"/>
            <w:tcMar>
              <w:top w:w="100" w:type="dxa"/>
              <w:start w:w="110" w:type="dxa"/>
              <w:bottom w:w="100" w:type="dxa"/>
              <w:end w:w="110" w:type="dxa"/>
            </w:tcMar>
          </w:tcPr>
          <w:p>
            <w:r>
              <w:rPr>
                <w:b/>
                <w:color w:val="FFFFFF"/>
                <w:sz w:val="18"/>
              </w:rPr>
              <w:t>Dashboard</w:t>
            </w:r>
          </w:p>
        </w:tc>
        <w:tc>
          <w:tcPr>
            <w:tcW w:type="dxa" w:w="4824"/>
            <w:shd w:fill="17365D"/>
            <w:vAlign w:val="center"/>
            <w:tcMar>
              <w:top w:w="100" w:type="dxa"/>
              <w:start w:w="110" w:type="dxa"/>
              <w:bottom w:w="100" w:type="dxa"/>
              <w:end w:w="110" w:type="dxa"/>
            </w:tcMar>
          </w:tcPr>
          <w:p>
            <w:r>
              <w:rPr>
                <w:b/>
                <w:color w:val="FFFFFF"/>
                <w:sz w:val="18"/>
              </w:rPr>
              <w:t>Minimum measures</w:t>
            </w:r>
          </w:p>
        </w:tc>
        <w:tc>
          <w:tcPr>
            <w:tcW w:type="dxa" w:w="2592"/>
            <w:shd w:fill="17365D"/>
            <w:vAlign w:val="center"/>
            <w:tcMar>
              <w:top w:w="100" w:type="dxa"/>
              <w:start w:w="110" w:type="dxa"/>
              <w:bottom w:w="100" w:type="dxa"/>
              <w:end w:w="110" w:type="dxa"/>
            </w:tcMar>
          </w:tcPr>
          <w:p>
            <w:r>
              <w:rPr>
                <w:b/>
                <w:color w:val="FFFFFF"/>
                <w:sz w:val="18"/>
              </w:rPr>
              <w:t>Decision supported</w:t>
            </w:r>
          </w:p>
        </w:tc>
      </w:tr>
      <w:tr>
        <w:tc>
          <w:tcPr>
            <w:tcW w:type="dxa" w:w="1728"/>
            <w:vAlign w:val="center"/>
            <w:shd w:fill="FFFFFF"/>
            <w:tcMar>
              <w:top w:w="100" w:type="dxa"/>
              <w:start w:w="110" w:type="dxa"/>
              <w:bottom w:w="100" w:type="dxa"/>
              <w:end w:w="110" w:type="dxa"/>
            </w:tcMar>
          </w:tcPr>
          <w:p>
            <w:pPr>
              <w:spacing w:after="20"/>
            </w:pPr>
            <w:r>
              <w:rPr>
                <w:sz w:val="17"/>
              </w:rPr>
              <w:t>Service health</w:t>
            </w:r>
          </w:p>
        </w:tc>
        <w:tc>
          <w:tcPr>
            <w:tcW w:type="dxa" w:w="4824"/>
            <w:vAlign w:val="center"/>
            <w:shd w:fill="FFFFFF"/>
            <w:tcMar>
              <w:top w:w="100" w:type="dxa"/>
              <w:start w:w="110" w:type="dxa"/>
              <w:bottom w:w="100" w:type="dxa"/>
              <w:end w:w="110" w:type="dxa"/>
            </w:tcMar>
          </w:tcPr>
          <w:p>
            <w:pPr>
              <w:spacing w:after="20"/>
            </w:pPr>
            <w:r>
              <w:rPr>
                <w:sz w:val="17"/>
              </w:rPr>
              <w:t>Request rate, error rate, latency, throttling and queue depth</w:t>
            </w:r>
          </w:p>
        </w:tc>
        <w:tc>
          <w:tcPr>
            <w:tcW w:type="dxa" w:w="2592"/>
            <w:vAlign w:val="center"/>
            <w:shd w:fill="FFFFFF"/>
            <w:tcMar>
              <w:top w:w="100" w:type="dxa"/>
              <w:start w:w="110" w:type="dxa"/>
              <w:bottom w:w="100" w:type="dxa"/>
              <w:end w:w="110" w:type="dxa"/>
            </w:tcMar>
          </w:tcPr>
          <w:p>
            <w:pPr>
              <w:spacing w:after="20"/>
            </w:pPr>
            <w:r>
              <w:rPr>
                <w:sz w:val="17"/>
              </w:rPr>
              <w:t>Incident response and capacity</w:t>
            </w:r>
          </w:p>
        </w:tc>
      </w:tr>
      <w:tr>
        <w:tc>
          <w:tcPr>
            <w:tcW w:type="dxa" w:w="1728"/>
            <w:vAlign w:val="center"/>
            <w:shd w:fill="EDF3F8"/>
            <w:tcMar>
              <w:top w:w="100" w:type="dxa"/>
              <w:start w:w="110" w:type="dxa"/>
              <w:bottom w:w="100" w:type="dxa"/>
              <w:end w:w="110" w:type="dxa"/>
            </w:tcMar>
          </w:tcPr>
          <w:p>
            <w:pPr>
              <w:spacing w:after="20"/>
            </w:pPr>
            <w:r>
              <w:rPr>
                <w:sz w:val="17"/>
              </w:rPr>
              <w:t>Model quality</w:t>
            </w:r>
          </w:p>
        </w:tc>
        <w:tc>
          <w:tcPr>
            <w:tcW w:type="dxa" w:w="4824"/>
            <w:vAlign w:val="center"/>
            <w:shd w:fill="EDF3F8"/>
            <w:tcMar>
              <w:top w:w="100" w:type="dxa"/>
              <w:start w:w="110" w:type="dxa"/>
              <w:bottom w:w="100" w:type="dxa"/>
              <w:end w:w="110" w:type="dxa"/>
            </w:tcMar>
          </w:tcPr>
          <w:p>
            <w:pPr>
              <w:spacing w:after="20"/>
            </w:pPr>
            <w:r>
              <w:rPr>
                <w:sz w:val="17"/>
              </w:rPr>
              <w:t>Evaluation score, refusal rate, citation support and user feedback</w:t>
            </w:r>
          </w:p>
        </w:tc>
        <w:tc>
          <w:tcPr>
            <w:tcW w:type="dxa" w:w="2592"/>
            <w:vAlign w:val="center"/>
            <w:shd w:fill="EDF3F8"/>
            <w:tcMar>
              <w:top w:w="100" w:type="dxa"/>
              <w:start w:w="110" w:type="dxa"/>
              <w:bottom w:w="100" w:type="dxa"/>
              <w:end w:w="110" w:type="dxa"/>
            </w:tcMar>
          </w:tcPr>
          <w:p>
            <w:pPr>
              <w:spacing w:after="20"/>
            </w:pPr>
            <w:r>
              <w:rPr>
                <w:sz w:val="17"/>
              </w:rPr>
              <w:t>Model or prompt release</w:t>
            </w:r>
          </w:p>
        </w:tc>
      </w:tr>
      <w:tr>
        <w:tc>
          <w:tcPr>
            <w:tcW w:type="dxa" w:w="1728"/>
            <w:vAlign w:val="center"/>
            <w:shd w:fill="FFFFFF"/>
            <w:tcMar>
              <w:top w:w="100" w:type="dxa"/>
              <w:start w:w="110" w:type="dxa"/>
              <w:bottom w:w="100" w:type="dxa"/>
              <w:end w:w="110" w:type="dxa"/>
            </w:tcMar>
          </w:tcPr>
          <w:p>
            <w:pPr>
              <w:spacing w:after="20"/>
            </w:pPr>
            <w:r>
              <w:rPr>
                <w:sz w:val="17"/>
              </w:rPr>
              <w:t>Retrieval</w:t>
            </w:r>
          </w:p>
        </w:tc>
        <w:tc>
          <w:tcPr>
            <w:tcW w:type="dxa" w:w="4824"/>
            <w:vAlign w:val="center"/>
            <w:shd w:fill="FFFFFF"/>
            <w:tcMar>
              <w:top w:w="100" w:type="dxa"/>
              <w:start w:w="110" w:type="dxa"/>
              <w:bottom w:w="100" w:type="dxa"/>
              <w:end w:w="110" w:type="dxa"/>
            </w:tcMar>
          </w:tcPr>
          <w:p>
            <w:pPr>
              <w:spacing w:after="20"/>
            </w:pPr>
            <w:r>
              <w:rPr>
                <w:sz w:val="17"/>
              </w:rPr>
              <w:t>No-result rate, relevance, reranking latency and access denials</w:t>
            </w:r>
          </w:p>
        </w:tc>
        <w:tc>
          <w:tcPr>
            <w:tcW w:type="dxa" w:w="2592"/>
            <w:vAlign w:val="center"/>
            <w:shd w:fill="FFFFFF"/>
            <w:tcMar>
              <w:top w:w="100" w:type="dxa"/>
              <w:start w:w="110" w:type="dxa"/>
              <w:bottom w:w="100" w:type="dxa"/>
              <w:end w:w="110" w:type="dxa"/>
            </w:tcMar>
          </w:tcPr>
          <w:p>
            <w:pPr>
              <w:spacing w:after="20"/>
            </w:pPr>
            <w:r>
              <w:rPr>
                <w:sz w:val="17"/>
              </w:rPr>
              <w:t>Knowledge and retrieval tuning</w:t>
            </w:r>
          </w:p>
        </w:tc>
      </w:tr>
      <w:tr>
        <w:tc>
          <w:tcPr>
            <w:tcW w:type="dxa" w:w="1728"/>
            <w:vAlign w:val="center"/>
            <w:shd w:fill="EDF3F8"/>
            <w:tcMar>
              <w:top w:w="100" w:type="dxa"/>
              <w:start w:w="110" w:type="dxa"/>
              <w:bottom w:w="100" w:type="dxa"/>
              <w:end w:w="110" w:type="dxa"/>
            </w:tcMar>
          </w:tcPr>
          <w:p>
            <w:pPr>
              <w:spacing w:after="20"/>
            </w:pPr>
            <w:r>
              <w:rPr>
                <w:sz w:val="17"/>
              </w:rPr>
              <w:t>Agent safety</w:t>
            </w:r>
          </w:p>
        </w:tc>
        <w:tc>
          <w:tcPr>
            <w:tcW w:type="dxa" w:w="4824"/>
            <w:vAlign w:val="center"/>
            <w:shd w:fill="EDF3F8"/>
            <w:tcMar>
              <w:top w:w="100" w:type="dxa"/>
              <w:start w:w="110" w:type="dxa"/>
              <w:bottom w:w="100" w:type="dxa"/>
              <w:end w:w="110" w:type="dxa"/>
            </w:tcMar>
          </w:tcPr>
          <w:p>
            <w:pPr>
              <w:spacing w:after="20"/>
            </w:pPr>
            <w:r>
              <w:rPr>
                <w:sz w:val="17"/>
              </w:rPr>
              <w:t>Tool calls, denials, approvals, loop limits and failures</w:t>
            </w:r>
          </w:p>
        </w:tc>
        <w:tc>
          <w:tcPr>
            <w:tcW w:type="dxa" w:w="2592"/>
            <w:vAlign w:val="center"/>
            <w:shd w:fill="EDF3F8"/>
            <w:tcMar>
              <w:top w:w="100" w:type="dxa"/>
              <w:start w:w="110" w:type="dxa"/>
              <w:bottom w:w="100" w:type="dxa"/>
              <w:end w:w="110" w:type="dxa"/>
            </w:tcMar>
          </w:tcPr>
          <w:p>
            <w:pPr>
              <w:spacing w:after="20"/>
            </w:pPr>
            <w:r>
              <w:rPr>
                <w:sz w:val="17"/>
              </w:rPr>
              <w:t>Tool governance</w:t>
            </w:r>
          </w:p>
        </w:tc>
      </w:tr>
      <w:tr>
        <w:tc>
          <w:tcPr>
            <w:tcW w:type="dxa" w:w="1728"/>
            <w:vAlign w:val="center"/>
            <w:shd w:fill="FFFFFF"/>
            <w:tcMar>
              <w:top w:w="100" w:type="dxa"/>
              <w:start w:w="110" w:type="dxa"/>
              <w:bottom w:w="100" w:type="dxa"/>
              <w:end w:w="110" w:type="dxa"/>
            </w:tcMar>
          </w:tcPr>
          <w:p>
            <w:pPr>
              <w:spacing w:after="20"/>
            </w:pPr>
            <w:r>
              <w:rPr>
                <w:sz w:val="17"/>
              </w:rPr>
              <w:t>Cost</w:t>
            </w:r>
          </w:p>
        </w:tc>
        <w:tc>
          <w:tcPr>
            <w:tcW w:type="dxa" w:w="4824"/>
            <w:vAlign w:val="center"/>
            <w:shd w:fill="FFFFFF"/>
            <w:tcMar>
              <w:top w:w="100" w:type="dxa"/>
              <w:start w:w="110" w:type="dxa"/>
              <w:bottom w:w="100" w:type="dxa"/>
              <w:end w:w="110" w:type="dxa"/>
            </w:tcMar>
          </w:tcPr>
          <w:p>
            <w:pPr>
              <w:spacing w:after="20"/>
            </w:pPr>
            <w:r>
              <w:rPr>
                <w:sz w:val="17"/>
              </w:rPr>
              <w:t>Tokens, media jobs, vector capacity and cost by use case</w:t>
            </w:r>
          </w:p>
        </w:tc>
        <w:tc>
          <w:tcPr>
            <w:tcW w:type="dxa" w:w="2592"/>
            <w:vAlign w:val="center"/>
            <w:shd w:fill="FFFFFF"/>
            <w:tcMar>
              <w:top w:w="100" w:type="dxa"/>
              <w:start w:w="110" w:type="dxa"/>
              <w:bottom w:w="100" w:type="dxa"/>
              <w:end w:w="110" w:type="dxa"/>
            </w:tcMar>
          </w:tcPr>
          <w:p>
            <w:pPr>
              <w:spacing w:after="20"/>
            </w:pPr>
            <w:r>
              <w:rPr>
                <w:sz w:val="17"/>
              </w:rPr>
              <w:t>Budget and model routing</w:t>
            </w:r>
          </w:p>
        </w:tc>
      </w:tr>
      <w:tr>
        <w:tc>
          <w:tcPr>
            <w:tcW w:type="dxa" w:w="1728"/>
            <w:vAlign w:val="center"/>
            <w:shd w:fill="EDF3F8"/>
            <w:tcMar>
              <w:top w:w="100" w:type="dxa"/>
              <w:start w:w="110" w:type="dxa"/>
              <w:bottom w:w="100" w:type="dxa"/>
              <w:end w:w="110" w:type="dxa"/>
            </w:tcMar>
          </w:tcPr>
          <w:p>
            <w:pPr>
              <w:spacing w:after="20"/>
            </w:pPr>
            <w:r>
              <w:rPr>
                <w:sz w:val="17"/>
              </w:rPr>
              <w:t>Data governance</w:t>
            </w:r>
          </w:p>
        </w:tc>
        <w:tc>
          <w:tcPr>
            <w:tcW w:type="dxa" w:w="4824"/>
            <w:vAlign w:val="center"/>
            <w:shd w:fill="EDF3F8"/>
            <w:tcMar>
              <w:top w:w="100" w:type="dxa"/>
              <w:start w:w="110" w:type="dxa"/>
              <w:bottom w:w="100" w:type="dxa"/>
              <w:end w:w="110" w:type="dxa"/>
            </w:tcMar>
          </w:tcPr>
          <w:p>
            <w:pPr>
              <w:spacing w:after="20"/>
            </w:pPr>
            <w:r>
              <w:rPr>
                <w:sz w:val="17"/>
              </w:rPr>
              <w:t>Ingestion status, document versions, retention and deletion</w:t>
            </w:r>
          </w:p>
        </w:tc>
        <w:tc>
          <w:tcPr>
            <w:tcW w:type="dxa" w:w="2592"/>
            <w:vAlign w:val="center"/>
            <w:shd w:fill="EDF3F8"/>
            <w:tcMar>
              <w:top w:w="100" w:type="dxa"/>
              <w:start w:w="110" w:type="dxa"/>
              <w:bottom w:w="100" w:type="dxa"/>
              <w:end w:w="110" w:type="dxa"/>
            </w:tcMar>
          </w:tcPr>
          <w:p>
            <w:pPr>
              <w:spacing w:after="20"/>
            </w:pPr>
            <w:r>
              <w:rPr>
                <w:sz w:val="17"/>
              </w:rPr>
              <w:t>Knowledge owner assurance</w:t>
            </w:r>
          </w:p>
        </w:tc>
      </w:tr>
    </w:tbl>
    <w:p>
      <w:pPr>
        <w:spacing w:after="20"/>
      </w:pPr>
    </w:p>
    <w:p>
      <w:pPr>
        <w:pStyle w:val="Heading2"/>
      </w:pPr>
      <w:r>
        <w:t>9.3 Operating model</w:t>
      </w:r>
    </w:p>
    <w:p>
      <w:r>
        <w:t>Use-case designers own purpose, expected behavior and evaluation examples. Knowledge owners approve sources and access metadata. AI engineers own model and retrieval adapters. Security approves roles, tools and data handling. Operations owns alarms, runbooks, quotas and recovery. Governance reviewers approve production evidence and material changes. Separating these responsibilities prevents the person who creates a use case from being the sole approver of its risks.</w:t>
      </w:r>
    </w:p>
    <w:p>
      <w:pPr>
        <w:pStyle w:val="Heading1"/>
      </w:pPr>
      <w:r>
        <w:t>10 Implementation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17365D"/>
            <w:vAlign w:val="center"/>
            <w:tcMar>
              <w:top w:w="100" w:type="dxa"/>
              <w:start w:w="110" w:type="dxa"/>
              <w:bottom w:w="100" w:type="dxa"/>
              <w:end w:w="110" w:type="dxa"/>
            </w:tcMar>
          </w:tcPr>
          <w:p>
            <w:r>
              <w:rPr>
                <w:b/>
                <w:color w:val="FFFFFF"/>
                <w:sz w:val="18"/>
              </w:rPr>
              <w:t>Phase</w:t>
            </w:r>
          </w:p>
        </w:tc>
        <w:tc>
          <w:tcPr>
            <w:tcW w:type="dxa" w:w="4536"/>
            <w:shd w:fill="17365D"/>
            <w:vAlign w:val="center"/>
            <w:tcMar>
              <w:top w:w="100" w:type="dxa"/>
              <w:start w:w="110" w:type="dxa"/>
              <w:bottom w:w="100" w:type="dxa"/>
              <w:end w:w="110" w:type="dxa"/>
            </w:tcMar>
          </w:tcPr>
          <w:p>
            <w:r>
              <w:rPr>
                <w:b/>
                <w:color w:val="FFFFFF"/>
                <w:sz w:val="18"/>
              </w:rPr>
              <w:t>Scope</w:t>
            </w:r>
          </w:p>
        </w:tc>
        <w:tc>
          <w:tcPr>
            <w:tcW w:type="dxa" w:w="2880"/>
            <w:shd w:fill="17365D"/>
            <w:vAlign w:val="center"/>
            <w:tcMar>
              <w:top w:w="100" w:type="dxa"/>
              <w:start w:w="110" w:type="dxa"/>
              <w:bottom w:w="100" w:type="dxa"/>
              <w:end w:w="110" w:type="dxa"/>
            </w:tcMar>
          </w:tcPr>
          <w:p>
            <w:r>
              <w:rPr>
                <w:b/>
                <w:color w:val="FFFFFF"/>
                <w:sz w:val="18"/>
              </w:rPr>
              <w:t>Exit criteria</w:t>
            </w:r>
          </w:p>
        </w:tc>
      </w:tr>
      <w:tr>
        <w:tc>
          <w:tcPr>
            <w:tcW w:type="dxa" w:w="1800"/>
            <w:vAlign w:val="center"/>
            <w:shd w:fill="FFFFFF"/>
            <w:tcMar>
              <w:top w:w="100" w:type="dxa"/>
              <w:start w:w="110" w:type="dxa"/>
              <w:bottom w:w="100" w:type="dxa"/>
              <w:end w:w="110" w:type="dxa"/>
            </w:tcMar>
          </w:tcPr>
          <w:p>
            <w:pPr>
              <w:spacing w:after="20"/>
            </w:pPr>
            <w:r>
              <w:rPr>
                <w:sz w:val="17"/>
              </w:rPr>
              <w:t>1 Baseline</w:t>
            </w:r>
          </w:p>
        </w:tc>
        <w:tc>
          <w:tcPr>
            <w:tcW w:type="dxa" w:w="4536"/>
            <w:vAlign w:val="center"/>
            <w:shd w:fill="FFFFFF"/>
            <w:tcMar>
              <w:top w:w="100" w:type="dxa"/>
              <w:start w:w="110" w:type="dxa"/>
              <w:bottom w:w="100" w:type="dxa"/>
              <w:end w:w="110" w:type="dxa"/>
            </w:tcMar>
          </w:tcPr>
          <w:p>
            <w:pPr>
              <w:spacing w:after="20"/>
            </w:pPr>
            <w:r>
              <w:rPr>
                <w:sz w:val="17"/>
              </w:rPr>
              <w:t>Deploy minimal chat with one approved model, Cognito and monitoring.</w:t>
            </w:r>
          </w:p>
        </w:tc>
        <w:tc>
          <w:tcPr>
            <w:tcW w:type="dxa" w:w="2880"/>
            <w:vAlign w:val="center"/>
            <w:shd w:fill="FFFFFF"/>
            <w:tcMar>
              <w:top w:w="100" w:type="dxa"/>
              <w:start w:w="110" w:type="dxa"/>
              <w:bottom w:w="100" w:type="dxa"/>
              <w:end w:w="110" w:type="dxa"/>
            </w:tcMar>
          </w:tcPr>
          <w:p>
            <w:pPr>
              <w:spacing w:after="20"/>
            </w:pPr>
            <w:r>
              <w:rPr>
                <w:sz w:val="17"/>
              </w:rPr>
              <w:t>Authentication, usage and error evidence verified.</w:t>
            </w:r>
          </w:p>
        </w:tc>
      </w:tr>
      <w:tr>
        <w:tc>
          <w:tcPr>
            <w:tcW w:type="dxa" w:w="1800"/>
            <w:vAlign w:val="center"/>
            <w:shd w:fill="EDF3F8"/>
            <w:tcMar>
              <w:top w:w="100" w:type="dxa"/>
              <w:start w:w="110" w:type="dxa"/>
              <w:bottom w:w="100" w:type="dxa"/>
              <w:end w:w="110" w:type="dxa"/>
            </w:tcMar>
          </w:tcPr>
          <w:p>
            <w:pPr>
              <w:spacing w:after="20"/>
            </w:pPr>
            <w:r>
              <w:rPr>
                <w:sz w:val="17"/>
              </w:rPr>
              <w:t>2 Contracts</w:t>
            </w:r>
          </w:p>
        </w:tc>
        <w:tc>
          <w:tcPr>
            <w:tcW w:type="dxa" w:w="4536"/>
            <w:vAlign w:val="center"/>
            <w:shd w:fill="EDF3F8"/>
            <w:tcMar>
              <w:top w:w="100" w:type="dxa"/>
              <w:start w:w="110" w:type="dxa"/>
              <w:bottom w:w="100" w:type="dxa"/>
              <w:end w:w="110" w:type="dxa"/>
            </w:tcMar>
          </w:tcPr>
          <w:p>
            <w:pPr>
              <w:spacing w:after="20"/>
            </w:pPr>
            <w:r>
              <w:rPr>
                <w:sz w:val="17"/>
              </w:rPr>
              <w:t>Add schema, ownership, quotas, version registry and evidence record.</w:t>
            </w:r>
          </w:p>
        </w:tc>
        <w:tc>
          <w:tcPr>
            <w:tcW w:type="dxa" w:w="2880"/>
            <w:vAlign w:val="center"/>
            <w:shd w:fill="EDF3F8"/>
            <w:tcMar>
              <w:top w:w="100" w:type="dxa"/>
              <w:start w:w="110" w:type="dxa"/>
              <w:bottom w:w="100" w:type="dxa"/>
              <w:end w:w="110" w:type="dxa"/>
            </w:tcMar>
          </w:tcPr>
          <w:p>
            <w:pPr>
              <w:spacing w:after="20"/>
            </w:pPr>
            <w:r>
              <w:rPr>
                <w:sz w:val="17"/>
              </w:rPr>
              <w:t>Contract and negative authorization tests pass.</w:t>
            </w:r>
          </w:p>
        </w:tc>
      </w:tr>
      <w:tr>
        <w:tc>
          <w:tcPr>
            <w:tcW w:type="dxa" w:w="1800"/>
            <w:vAlign w:val="center"/>
            <w:shd w:fill="FFFFFF"/>
            <w:tcMar>
              <w:top w:w="100" w:type="dxa"/>
              <w:start w:w="110" w:type="dxa"/>
              <w:bottom w:w="100" w:type="dxa"/>
              <w:end w:w="110" w:type="dxa"/>
            </w:tcMar>
          </w:tcPr>
          <w:p>
            <w:pPr>
              <w:spacing w:after="20"/>
            </w:pPr>
            <w:r>
              <w:rPr>
                <w:sz w:val="17"/>
              </w:rPr>
              <w:t>3 Governed RAG</w:t>
            </w:r>
          </w:p>
        </w:tc>
        <w:tc>
          <w:tcPr>
            <w:tcW w:type="dxa" w:w="4536"/>
            <w:vAlign w:val="center"/>
            <w:shd w:fill="FFFFFF"/>
            <w:tcMar>
              <w:top w:w="100" w:type="dxa"/>
              <w:start w:w="110" w:type="dxa"/>
              <w:bottom w:w="100" w:type="dxa"/>
              <w:end w:w="110" w:type="dxa"/>
            </w:tcMar>
          </w:tcPr>
          <w:p>
            <w:pPr>
              <w:spacing w:after="20"/>
            </w:pPr>
            <w:r>
              <w:rPr>
                <w:sz w:val="17"/>
              </w:rPr>
              <w:t>Add quarantine, approval, metadata filtering and citation validation.</w:t>
            </w:r>
          </w:p>
        </w:tc>
        <w:tc>
          <w:tcPr>
            <w:tcW w:type="dxa" w:w="2880"/>
            <w:vAlign w:val="center"/>
            <w:shd w:fill="FFFFFF"/>
            <w:tcMar>
              <w:top w:w="100" w:type="dxa"/>
              <w:start w:w="110" w:type="dxa"/>
              <w:bottom w:w="100" w:type="dxa"/>
              <w:end w:w="110" w:type="dxa"/>
            </w:tcMar>
          </w:tcPr>
          <w:p>
            <w:pPr>
              <w:spacing w:after="20"/>
            </w:pPr>
            <w:r>
              <w:rPr>
                <w:sz w:val="17"/>
              </w:rPr>
              <w:t>Golden-query and access-isolation thresholds pass.</w:t>
            </w:r>
          </w:p>
        </w:tc>
      </w:tr>
      <w:tr>
        <w:tc>
          <w:tcPr>
            <w:tcW w:type="dxa" w:w="1800"/>
            <w:vAlign w:val="center"/>
            <w:shd w:fill="EDF3F8"/>
            <w:tcMar>
              <w:top w:w="100" w:type="dxa"/>
              <w:start w:w="110" w:type="dxa"/>
              <w:bottom w:w="100" w:type="dxa"/>
              <w:end w:w="110" w:type="dxa"/>
            </w:tcMar>
          </w:tcPr>
          <w:p>
            <w:pPr>
              <w:spacing w:after="20"/>
            </w:pPr>
            <w:r>
              <w:rPr>
                <w:sz w:val="17"/>
              </w:rPr>
              <w:t>4 Bounded agents</w:t>
            </w:r>
          </w:p>
        </w:tc>
        <w:tc>
          <w:tcPr>
            <w:tcW w:type="dxa" w:w="4536"/>
            <w:vAlign w:val="center"/>
            <w:shd w:fill="EDF3F8"/>
            <w:tcMar>
              <w:top w:w="100" w:type="dxa"/>
              <w:start w:w="110" w:type="dxa"/>
              <w:bottom w:w="100" w:type="dxa"/>
              <w:end w:w="110" w:type="dxa"/>
            </w:tcMar>
          </w:tcPr>
          <w:p>
            <w:pPr>
              <w:spacing w:after="20"/>
            </w:pPr>
            <w:r>
              <w:rPr>
                <w:sz w:val="17"/>
              </w:rPr>
              <w:t>Enable selected read-only tools, limits and audit.</w:t>
            </w:r>
          </w:p>
        </w:tc>
        <w:tc>
          <w:tcPr>
            <w:tcW w:type="dxa" w:w="2880"/>
            <w:vAlign w:val="center"/>
            <w:shd w:fill="EDF3F8"/>
            <w:tcMar>
              <w:top w:w="100" w:type="dxa"/>
              <w:start w:w="110" w:type="dxa"/>
              <w:bottom w:w="100" w:type="dxa"/>
              <w:end w:w="110" w:type="dxa"/>
            </w:tcMar>
          </w:tcPr>
          <w:p>
            <w:pPr>
              <w:spacing w:after="20"/>
            </w:pPr>
            <w:r>
              <w:rPr>
                <w:sz w:val="17"/>
              </w:rPr>
              <w:t>Unauthorized and loop-limit tests pass.</w:t>
            </w:r>
          </w:p>
        </w:tc>
      </w:tr>
      <w:tr>
        <w:tc>
          <w:tcPr>
            <w:tcW w:type="dxa" w:w="1800"/>
            <w:vAlign w:val="center"/>
            <w:shd w:fill="FFFFFF"/>
            <w:tcMar>
              <w:top w:w="100" w:type="dxa"/>
              <w:start w:w="110" w:type="dxa"/>
              <w:bottom w:w="100" w:type="dxa"/>
              <w:end w:w="110" w:type="dxa"/>
            </w:tcMar>
          </w:tcPr>
          <w:p>
            <w:pPr>
              <w:spacing w:after="20"/>
            </w:pPr>
            <w:r>
              <w:rPr>
                <w:sz w:val="17"/>
              </w:rPr>
              <w:t>5 Consequential actions</w:t>
            </w:r>
          </w:p>
        </w:tc>
        <w:tc>
          <w:tcPr>
            <w:tcW w:type="dxa" w:w="4536"/>
            <w:vAlign w:val="center"/>
            <w:shd w:fill="FFFFFF"/>
            <w:tcMar>
              <w:top w:w="100" w:type="dxa"/>
              <w:start w:w="110" w:type="dxa"/>
              <w:bottom w:w="100" w:type="dxa"/>
              <w:end w:w="110" w:type="dxa"/>
            </w:tcMar>
          </w:tcPr>
          <w:p>
            <w:pPr>
              <w:spacing w:after="20"/>
            </w:pPr>
            <w:r>
              <w:rPr>
                <w:sz w:val="17"/>
              </w:rPr>
              <w:t>Add approval workflow and scoped write tools.</w:t>
            </w:r>
          </w:p>
        </w:tc>
        <w:tc>
          <w:tcPr>
            <w:tcW w:type="dxa" w:w="2880"/>
            <w:vAlign w:val="center"/>
            <w:shd w:fill="FFFFFF"/>
            <w:tcMar>
              <w:top w:w="100" w:type="dxa"/>
              <w:start w:w="110" w:type="dxa"/>
              <w:bottom w:w="100" w:type="dxa"/>
              <w:end w:w="110" w:type="dxa"/>
            </w:tcMar>
          </w:tcPr>
          <w:p>
            <w:pPr>
              <w:spacing w:after="20"/>
            </w:pPr>
            <w:r>
              <w:rPr>
                <w:sz w:val="17"/>
              </w:rPr>
              <w:t>No action executes without required approval.</w:t>
            </w:r>
          </w:p>
        </w:tc>
      </w:tr>
      <w:tr>
        <w:tc>
          <w:tcPr>
            <w:tcW w:type="dxa" w:w="1800"/>
            <w:vAlign w:val="center"/>
            <w:shd w:fill="EDF3F8"/>
            <w:tcMar>
              <w:top w:w="100" w:type="dxa"/>
              <w:start w:w="110" w:type="dxa"/>
              <w:bottom w:w="100" w:type="dxa"/>
              <w:end w:w="110" w:type="dxa"/>
            </w:tcMar>
          </w:tcPr>
          <w:p>
            <w:pPr>
              <w:spacing w:after="20"/>
            </w:pPr>
            <w:r>
              <w:rPr>
                <w:sz w:val="17"/>
              </w:rPr>
              <w:t>6 Production resilience</w:t>
            </w:r>
          </w:p>
        </w:tc>
        <w:tc>
          <w:tcPr>
            <w:tcW w:type="dxa" w:w="4536"/>
            <w:vAlign w:val="center"/>
            <w:shd w:fill="EDF3F8"/>
            <w:tcMar>
              <w:top w:w="100" w:type="dxa"/>
              <w:start w:w="110" w:type="dxa"/>
              <w:bottom w:w="100" w:type="dxa"/>
              <w:end w:w="110" w:type="dxa"/>
            </w:tcMar>
          </w:tcPr>
          <w:p>
            <w:pPr>
              <w:spacing w:after="20"/>
            </w:pPr>
            <w:r>
              <w:rPr>
                <w:sz w:val="17"/>
              </w:rPr>
              <w:t>Enable retention, PITR, queues, DLQs, alarms and restore exercises.</w:t>
            </w:r>
          </w:p>
        </w:tc>
        <w:tc>
          <w:tcPr>
            <w:tcW w:type="dxa" w:w="2880"/>
            <w:vAlign w:val="center"/>
            <w:shd w:fill="EDF3F8"/>
            <w:tcMar>
              <w:top w:w="100" w:type="dxa"/>
              <w:start w:w="110" w:type="dxa"/>
              <w:bottom w:w="100" w:type="dxa"/>
              <w:end w:w="110" w:type="dxa"/>
            </w:tcMar>
          </w:tcPr>
          <w:p>
            <w:pPr>
              <w:spacing w:after="20"/>
            </w:pPr>
            <w:r>
              <w:rPr>
                <w:sz w:val="17"/>
              </w:rPr>
              <w:t>Recovery and failure-injection targets pass.</w:t>
            </w:r>
          </w:p>
        </w:tc>
      </w:tr>
      <w:tr>
        <w:tc>
          <w:tcPr>
            <w:tcW w:type="dxa" w:w="1800"/>
            <w:vAlign w:val="center"/>
            <w:shd w:fill="FFFFFF"/>
            <w:tcMar>
              <w:top w:w="100" w:type="dxa"/>
              <w:start w:w="110" w:type="dxa"/>
              <w:bottom w:w="100" w:type="dxa"/>
              <w:end w:w="110" w:type="dxa"/>
            </w:tcMar>
          </w:tcPr>
          <w:p>
            <w:pPr>
              <w:spacing w:after="20"/>
            </w:pPr>
            <w:r>
              <w:rPr>
                <w:sz w:val="17"/>
              </w:rPr>
              <w:t>7 Continuous improvement</w:t>
            </w:r>
          </w:p>
        </w:tc>
        <w:tc>
          <w:tcPr>
            <w:tcW w:type="dxa" w:w="4536"/>
            <w:vAlign w:val="center"/>
            <w:shd w:fill="FFFFFF"/>
            <w:tcMar>
              <w:top w:w="100" w:type="dxa"/>
              <w:start w:w="110" w:type="dxa"/>
              <w:bottom w:w="100" w:type="dxa"/>
              <w:end w:w="110" w:type="dxa"/>
            </w:tcMar>
          </w:tcPr>
          <w:p>
            <w:pPr>
              <w:spacing w:after="20"/>
            </w:pPr>
            <w:r>
              <w:rPr>
                <w:sz w:val="17"/>
              </w:rPr>
              <w:t>Review quality, security, cost and sustainability evidence.</w:t>
            </w:r>
          </w:p>
        </w:tc>
        <w:tc>
          <w:tcPr>
            <w:tcW w:type="dxa" w:w="2880"/>
            <w:vAlign w:val="center"/>
            <w:shd w:fill="FFFFFF"/>
            <w:tcMar>
              <w:top w:w="100" w:type="dxa"/>
              <w:start w:w="110" w:type="dxa"/>
              <w:bottom w:w="100" w:type="dxa"/>
              <w:end w:w="110" w:type="dxa"/>
            </w:tcMar>
          </w:tcPr>
          <w:p>
            <w:pPr>
              <w:spacing w:after="20"/>
            </w:pPr>
            <w:r>
              <w:rPr>
                <w:sz w:val="17"/>
              </w:rPr>
              <w:t>Changes remain traceable and within approved thresholds.</w:t>
            </w:r>
          </w:p>
        </w:tc>
      </w:tr>
    </w:tbl>
    <w:p>
      <w:pPr>
        <w:spacing w:after="20"/>
      </w:pPr>
    </w:p>
    <w:p>
      <w:pPr>
        <w:pStyle w:val="Heading2"/>
      </w:pPr>
      <w:r>
        <w:t>10.1 Recommended initial boundary</w:t>
      </w:r>
    </w:p>
    <w:p>
      <w:r>
        <w:t>The first production pilot should enable authenticated chat, one approved text model, one governed Knowledge Base, CloudWatch metrics and a tailored Guardrail. Agent write tools, public MCP servers, code execution, image generation and video generation should remain disabled until their contracts, permissions, cost limits and failure tests are approved.</w:t>
      </w:r>
    </w:p>
    <w:p>
      <w:pPr>
        <w:pStyle w:val="Heading1"/>
      </w:pPr>
      <w:r>
        <w:t>11 Conclusion</w:t>
      </w:r>
    </w:p>
    <w:p>
      <w:r>
        <w:t>GenU provides a capable AWS reference implementation for a shared generative AI platform. A design-first approach makes the platform governable by defining the business outcome, authority boundaries and evidence before expanding features. The resulting architecture preserves GenU's flexibility while placing deterministic controls around identity, retrieval, model use, agent actions, cost and recovery.</w:t>
      </w:r>
    </w:p>
    <w:p>
      <w:r>
        <w:t>The most important architectural decision is to keep authorization and consequential actions outside the model. Models may interpret, propose and generate. Application services decide what data may be retrieved, which tools may run, whether approval is required and what evidence must be retained. This separation allows GenU to support experimentation without weakening operational accountability.</w:t>
      </w:r>
    </w:p>
    <w:p>
      <w:pPr>
        <w:pStyle w:val="Heading1"/>
      </w:pPr>
      <w:r>
        <w:t>References</w:t>
      </w:r>
    </w:p>
    <w:p>
      <w:pPr>
        <w:ind w:left="360" w:hanging="360"/>
      </w:pPr>
      <w:r>
        <w:t>1.  Amazon Web Services. Generative AI Use Cases GenU. GitHub repository. https://github.com/aws-samples/generative-ai-use-cases</w:t>
      </w:r>
    </w:p>
    <w:p>
      <w:pPr>
        <w:ind w:left="360" w:hanging="360"/>
      </w:pPr>
      <w:r>
        <w:t>2.  Amazon Web Services. Generative AI Use Cases GenU documentation. https://aws-samples.github.io/generative-ai-use-cases/en/</w:t>
      </w:r>
    </w:p>
    <w:p>
      <w:pPr>
        <w:ind w:left="360" w:hanging="360"/>
      </w:pPr>
      <w:r>
        <w:t>3.  Amazon Web Services. AWS Well-Architected Framework. https://docs.aws.amazon.com/wellarchitected/latest/framework/the-pillars-of-the-framework.html</w:t>
      </w:r>
    </w:p>
    <w:p>
      <w:pPr>
        <w:ind w:left="360" w:hanging="360"/>
      </w:pPr>
      <w:r>
        <w:t>4.  Amazon Web Services. AWS Well-Architected Generative AI Lens. Publication date 19 November 2025. https://docs.aws.amazon.com/wellarchitected/latest/generative-ai-lens/generative-ai-lens.html</w:t>
      </w:r>
    </w:p>
    <w:p>
      <w:pPr>
        <w:ind w:left="360" w:hanging="360"/>
      </w:pPr>
      <w:r>
        <w:t>5.  OWASP Foundation. OWASP Top 10 for Large Language Model Applications. https://owasp.org/www-project-top-10-for-large-language-model-applications/</w:t>
      </w:r>
    </w:p>
    <w:sectPr w:rsidR="00FC693F" w:rsidRPr="0006063C" w:rsidSect="00034616">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GenU Design First Approach Case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D2D2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80"/>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Design First Approach to GenU</dc:title>
  <dc:subject>GenU application architecture requirements contracts governance and AWS Well Architected analysis</dc:subject>
  <dc:creator>Ji Pengxiang</dc:creator>
  <cp:keywords>GenU, Amazon Bedrock, design first, AWS Well Architected, RAG, agents, contracts</cp:keywords>
  <dc:description>generated by python-docx</dc:description>
  <cp:lastModifiedBy/>
  <cp:revision>1</cp:revision>
  <dcterms:created xsi:type="dcterms:W3CDTF">2013-12-23T23:15:00Z</dcterms:created>
  <dcterms:modified xsi:type="dcterms:W3CDTF">2013-12-23T23:15:00Z</dcterms:modified>
  <cp:category/>
</cp:coreProperties>
</file>