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0E2FB">
      <w:pPr>
        <w:ind w:firstLine="482"/>
        <w:jc w:val="center"/>
        <w:rPr>
          <w:rFonts w:ascii="黑体" w:eastAsia="黑体" w:cs="Times New Roman"/>
          <w:b/>
          <w:bCs/>
          <w:szCs w:val="24"/>
        </w:rPr>
      </w:pPr>
      <w:bookmarkStart w:id="70" w:name="_GoBack"/>
      <w:bookmarkEnd w:id="70"/>
    </w:p>
    <w:p w14:paraId="249072E7">
      <w:pPr>
        <w:ind w:firstLine="482"/>
        <w:jc w:val="center"/>
        <w:rPr>
          <w:rFonts w:ascii="黑体" w:eastAsia="黑体" w:cs="Times New Roman"/>
          <w:b/>
          <w:bCs/>
          <w:szCs w:val="24"/>
        </w:rPr>
      </w:pPr>
    </w:p>
    <w:p w14:paraId="5494D8D7">
      <w:pPr>
        <w:ind w:firstLine="482"/>
        <w:jc w:val="center"/>
        <w:rPr>
          <w:rFonts w:ascii="黑体" w:eastAsia="黑体" w:cs="Times New Roman"/>
          <w:b/>
          <w:bCs/>
          <w:szCs w:val="24"/>
        </w:rPr>
      </w:pPr>
    </w:p>
    <w:p w14:paraId="6D4F9089">
      <w:pPr>
        <w:ind w:firstLine="482"/>
        <w:jc w:val="center"/>
        <w:rPr>
          <w:rFonts w:ascii="黑体" w:eastAsia="黑体" w:cs="Times New Roman"/>
          <w:b/>
          <w:bCs/>
          <w:szCs w:val="24"/>
        </w:rPr>
      </w:pPr>
    </w:p>
    <w:p w14:paraId="2068CF35">
      <w:pPr>
        <w:ind w:firstLine="482"/>
        <w:jc w:val="center"/>
        <w:rPr>
          <w:rFonts w:ascii="黑体" w:eastAsia="黑体" w:cs="Times New Roman"/>
          <w:b/>
          <w:bCs/>
          <w:szCs w:val="24"/>
        </w:rPr>
      </w:pPr>
    </w:p>
    <w:p w14:paraId="6FE1EC42">
      <w:pPr>
        <w:ind w:firstLine="482"/>
        <w:jc w:val="center"/>
        <w:rPr>
          <w:rFonts w:ascii="黑体" w:eastAsia="黑体" w:cs="Times New Roman"/>
          <w:b/>
          <w:bCs/>
          <w:szCs w:val="24"/>
        </w:rPr>
      </w:pPr>
    </w:p>
    <w:p w14:paraId="49318F2B">
      <w:pPr>
        <w:spacing w:before="312" w:beforeLines="100"/>
        <w:ind w:firstLine="1200"/>
        <w:jc w:val="center"/>
        <w:rPr>
          <w:rFonts w:ascii="黑体" w:eastAsia="黑体" w:cs="Times New Roman"/>
          <w:spacing w:val="20"/>
          <w:sz w:val="56"/>
          <w:szCs w:val="72"/>
        </w:rPr>
      </w:pPr>
      <w:r>
        <w:rPr>
          <w:rFonts w:hint="eastAsia" w:ascii="黑体" w:eastAsia="黑体" w:cs="Times New Roman"/>
          <w:spacing w:val="20"/>
          <w:sz w:val="56"/>
          <w:szCs w:val="72"/>
        </w:rPr>
        <w:t>磐古执行层</w:t>
      </w:r>
    </w:p>
    <w:p w14:paraId="0D4E53BE">
      <w:pPr>
        <w:spacing w:before="312" w:beforeLines="100"/>
        <w:ind w:firstLine="1200"/>
        <w:jc w:val="center"/>
        <w:rPr>
          <w:rFonts w:ascii="黑体" w:eastAsia="黑体" w:cs="Times New Roman"/>
          <w:spacing w:val="20"/>
          <w:sz w:val="56"/>
          <w:szCs w:val="72"/>
        </w:rPr>
      </w:pPr>
      <w:r>
        <w:rPr>
          <w:rFonts w:hint="eastAsia" w:ascii="黑体" w:eastAsia="黑体" w:cs="Times New Roman"/>
          <w:spacing w:val="20"/>
          <w:sz w:val="56"/>
          <w:szCs w:val="72"/>
        </w:rPr>
        <w:t>概要</w:t>
      </w:r>
      <w:r>
        <w:rPr>
          <w:rFonts w:ascii="黑体" w:eastAsia="黑体" w:cs="Times New Roman"/>
          <w:spacing w:val="20"/>
          <w:sz w:val="56"/>
          <w:szCs w:val="72"/>
        </w:rPr>
        <w:t>设计文档</w:t>
      </w:r>
    </w:p>
    <w:p w14:paraId="10EF61D0">
      <w:pPr>
        <w:spacing w:line="600" w:lineRule="exact"/>
        <w:ind w:firstLine="650"/>
        <w:jc w:val="center"/>
        <w:rPr>
          <w:rFonts w:eastAsia="宋体" w:cs="Times New Roman"/>
          <w:b/>
          <w:bCs/>
          <w:spacing w:val="22"/>
          <w:kern w:val="10"/>
          <w:sz w:val="28"/>
          <w:szCs w:val="24"/>
        </w:rPr>
      </w:pPr>
    </w:p>
    <w:p w14:paraId="4A882E78">
      <w:pPr>
        <w:spacing w:line="600" w:lineRule="exact"/>
        <w:ind w:firstLine="650"/>
        <w:jc w:val="center"/>
        <w:rPr>
          <w:rFonts w:eastAsia="宋体" w:cs="Times New Roman"/>
          <w:b/>
          <w:bCs/>
          <w:spacing w:val="22"/>
          <w:kern w:val="10"/>
          <w:sz w:val="28"/>
          <w:szCs w:val="24"/>
        </w:rPr>
      </w:pPr>
    </w:p>
    <w:p w14:paraId="656B9D7D">
      <w:pPr>
        <w:spacing w:line="600" w:lineRule="exact"/>
        <w:ind w:firstLine="650"/>
        <w:jc w:val="center"/>
        <w:rPr>
          <w:rFonts w:eastAsia="宋体" w:cs="Times New Roman"/>
          <w:b/>
          <w:bCs/>
          <w:spacing w:val="22"/>
          <w:kern w:val="10"/>
          <w:sz w:val="28"/>
          <w:szCs w:val="24"/>
        </w:rPr>
      </w:pPr>
    </w:p>
    <w:p w14:paraId="6C85B3D3">
      <w:pPr>
        <w:spacing w:line="600" w:lineRule="exact"/>
        <w:ind w:firstLine="650"/>
        <w:jc w:val="center"/>
        <w:rPr>
          <w:rFonts w:eastAsia="宋体" w:cs="Times New Roman"/>
          <w:b/>
          <w:bCs/>
          <w:spacing w:val="22"/>
          <w:kern w:val="10"/>
          <w:sz w:val="28"/>
          <w:szCs w:val="24"/>
        </w:rPr>
      </w:pPr>
    </w:p>
    <w:p w14:paraId="6050A9AD">
      <w:pPr>
        <w:spacing w:line="600" w:lineRule="exact"/>
        <w:ind w:firstLine="650"/>
        <w:jc w:val="center"/>
        <w:rPr>
          <w:rFonts w:eastAsia="宋体" w:cs="Times New Roman"/>
          <w:b/>
          <w:bCs/>
          <w:spacing w:val="22"/>
          <w:kern w:val="10"/>
          <w:sz w:val="28"/>
          <w:szCs w:val="24"/>
        </w:rPr>
      </w:pPr>
    </w:p>
    <w:p w14:paraId="118A2DA3">
      <w:pPr>
        <w:spacing w:line="600" w:lineRule="exact"/>
        <w:ind w:firstLine="650"/>
        <w:jc w:val="center"/>
        <w:rPr>
          <w:rFonts w:eastAsia="宋体" w:cs="Times New Roman"/>
          <w:b/>
          <w:bCs/>
          <w:spacing w:val="22"/>
          <w:kern w:val="10"/>
          <w:sz w:val="28"/>
          <w:szCs w:val="24"/>
        </w:rPr>
      </w:pPr>
    </w:p>
    <w:p w14:paraId="7D058D3E">
      <w:pPr>
        <w:spacing w:line="600" w:lineRule="exact"/>
        <w:ind w:firstLine="648"/>
        <w:jc w:val="center"/>
        <w:rPr>
          <w:rFonts w:eastAsia="黑体" w:cs="Times New Roman"/>
          <w:spacing w:val="22"/>
          <w:kern w:val="10"/>
          <w:sz w:val="28"/>
          <w:szCs w:val="24"/>
          <w:lang w:bidi="ar"/>
        </w:rPr>
      </w:pPr>
      <w:bookmarkStart w:id="0" w:name="OLE_LINK1"/>
      <w:bookmarkStart w:id="1" w:name="OLE_LINK2"/>
    </w:p>
    <w:p w14:paraId="59088B38">
      <w:pPr>
        <w:ind w:firstLine="648"/>
        <w:jc w:val="center"/>
        <w:rPr>
          <w:b/>
          <w:bCs/>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r>
        <w:rPr>
          <w:rFonts w:hint="eastAsia" w:eastAsia="黑体" w:cs="Times New Roman"/>
          <w:spacing w:val="22"/>
          <w:kern w:val="10"/>
          <w:sz w:val="28"/>
          <w:szCs w:val="24"/>
        </w:rPr>
        <w:t>时间：20</w:t>
      </w:r>
      <w:r>
        <w:rPr>
          <w:rFonts w:eastAsia="黑体" w:cs="Times New Roman"/>
          <w:spacing w:val="22"/>
          <w:kern w:val="10"/>
          <w:sz w:val="28"/>
          <w:szCs w:val="24"/>
        </w:rPr>
        <w:t>2</w:t>
      </w:r>
      <w:r>
        <w:rPr>
          <w:rFonts w:hint="eastAsia" w:eastAsia="黑体" w:cs="Times New Roman"/>
          <w:spacing w:val="22"/>
          <w:kern w:val="10"/>
          <w:sz w:val="28"/>
          <w:szCs w:val="24"/>
        </w:rPr>
        <w:t>6年5月</w:t>
      </w:r>
      <w:bookmarkEnd w:id="0"/>
      <w:bookmarkEnd w:id="1"/>
      <w:r>
        <w:rPr>
          <w:rFonts w:hint="eastAsia" w:eastAsia="黑体" w:cs="Times New Roman"/>
          <w:spacing w:val="22"/>
          <w:kern w:val="10"/>
          <w:sz w:val="28"/>
          <w:szCs w:val="24"/>
        </w:rPr>
        <w:t>27日</w:t>
      </w:r>
    </w:p>
    <w:sdt>
      <w:sdtPr>
        <w:rPr>
          <w:rFonts w:ascii="宋体" w:hAnsi="宋体" w:eastAsia="宋体"/>
        </w:rPr>
        <w:id w:val="147476683"/>
        <w15:color w:val="DBDBDB"/>
        <w:docPartObj>
          <w:docPartGallery w:val="Table of Contents"/>
          <w:docPartUnique/>
        </w:docPartObj>
      </w:sdtPr>
      <w:sdtEndPr>
        <w:rPr>
          <w:rFonts w:hint="eastAsia" w:ascii="Times New Roman" w:hAnsi="Times New Roman" w:eastAsia="仿宋"/>
        </w:rPr>
      </w:sdtEndPr>
      <w:sdtContent>
        <w:p w14:paraId="37D1BB63">
          <w:pPr>
            <w:ind w:firstLine="480"/>
            <w:jc w:val="center"/>
            <w:rPr>
              <w:b/>
              <w:bCs/>
              <w:szCs w:val="24"/>
            </w:rPr>
          </w:pPr>
          <w:r>
            <w:rPr>
              <w:rFonts w:ascii="宋体" w:hAnsi="宋体" w:eastAsia="宋体"/>
              <w:b/>
              <w:bCs/>
              <w:szCs w:val="24"/>
            </w:rPr>
            <w:t>目录</w:t>
          </w:r>
        </w:p>
        <w:p w14:paraId="4B40C3ED">
          <w:pPr>
            <w:pStyle w:val="24"/>
            <w:rPr>
              <w:rFonts w:asciiTheme="minorHAnsi" w:hAnsiTheme="minorHAnsi" w:eastAsiaTheme="minorEastAsia"/>
              <w:b w:val="0"/>
              <w:sz w:val="22"/>
              <w:szCs w:val="24"/>
              <w14:ligatures w14:val="standardContextual"/>
            </w:rPr>
          </w:pPr>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"_Toc235285696" </w:instrText>
          </w:r>
          <w:r>
            <w:fldChar w:fldCharType="separate"/>
          </w:r>
          <w:r>
            <w:rPr>
              <w:rStyle w:val="38"/>
            </w:rPr>
            <w:t>1. 设计愿景与目标</w:t>
          </w:r>
          <w:r>
            <w:tab/>
          </w:r>
          <w:r>
            <w:fldChar w:fldCharType="begin"/>
          </w:r>
          <w:r>
            <w:instrText xml:space="preserve"> PAGEREF _Toc235285696 \h </w:instrText>
          </w:r>
          <w:r>
            <w:fldChar w:fldCharType="separate"/>
          </w:r>
          <w:r>
            <w:t>5</w:t>
          </w:r>
          <w:r>
            <w:fldChar w:fldCharType="end"/>
          </w:r>
          <w:r>
            <w:fldChar w:fldCharType="end"/>
          </w:r>
        </w:p>
        <w:p w14:paraId="0EA9444D">
          <w:pPr>
            <w:pStyle w:val="29"/>
            <w:rPr>
              <w:rFonts w:asciiTheme="minorHAnsi" w:hAnsiTheme="minorHAnsi" w:eastAsiaTheme="minorEastAsia"/>
              <w:sz w:val="22"/>
              <w:szCs w:val="24"/>
              <w14:ligatures w14:val="standardContextual"/>
            </w:rPr>
          </w:pPr>
          <w:r>
            <w:fldChar w:fldCharType="begin"/>
          </w:r>
          <w:r>
            <w:instrText xml:space="preserve"> HYPERLINK \l "_Toc235285697" </w:instrText>
          </w:r>
          <w:r>
            <w:fldChar w:fldCharType="separate"/>
          </w:r>
          <w:r>
            <w:rPr>
              <w:rStyle w:val="38"/>
            </w:rPr>
            <w:t>1.1 设计背景与任务定义</w:t>
          </w:r>
          <w:r>
            <w:tab/>
          </w:r>
          <w:r>
            <w:fldChar w:fldCharType="begin"/>
          </w:r>
          <w:r>
            <w:instrText xml:space="preserve"> PAGEREF _Toc235285697 \h </w:instrText>
          </w:r>
          <w:r>
            <w:fldChar w:fldCharType="separate"/>
          </w:r>
          <w:r>
            <w:t>5</w:t>
          </w:r>
          <w:r>
            <w:fldChar w:fldCharType="end"/>
          </w:r>
          <w:r>
            <w:fldChar w:fldCharType="end"/>
          </w:r>
        </w:p>
        <w:p w14:paraId="0EADF25A">
          <w:pPr>
            <w:pStyle w:val="29"/>
            <w:rPr>
              <w:rFonts w:asciiTheme="minorHAnsi" w:hAnsiTheme="minorHAnsi" w:eastAsiaTheme="minorEastAsia"/>
              <w:sz w:val="22"/>
              <w:szCs w:val="24"/>
              <w14:ligatures w14:val="standardContextual"/>
            </w:rPr>
          </w:pPr>
          <w:r>
            <w:fldChar w:fldCharType="begin"/>
          </w:r>
          <w:r>
            <w:instrText xml:space="preserve"> HYPERLINK \l "_Toc235285698" </w:instrText>
          </w:r>
          <w:r>
            <w:fldChar w:fldCharType="separate"/>
          </w:r>
          <w:r>
            <w:rPr>
              <w:rStyle w:val="38"/>
            </w:rPr>
            <w:t>1.2 总体设计愿景</w:t>
          </w:r>
          <w:r>
            <w:tab/>
          </w:r>
          <w:r>
            <w:fldChar w:fldCharType="begin"/>
          </w:r>
          <w:r>
            <w:instrText xml:space="preserve"> PAGEREF _Toc235285698 \h </w:instrText>
          </w:r>
          <w:r>
            <w:fldChar w:fldCharType="separate"/>
          </w:r>
          <w:r>
            <w:t>5</w:t>
          </w:r>
          <w:r>
            <w:fldChar w:fldCharType="end"/>
          </w:r>
          <w:r>
            <w:fldChar w:fldCharType="end"/>
          </w:r>
        </w:p>
        <w:p w14:paraId="423718E6">
          <w:pPr>
            <w:pStyle w:val="29"/>
            <w:rPr>
              <w:rFonts w:asciiTheme="minorHAnsi" w:hAnsiTheme="minorHAnsi" w:eastAsiaTheme="minorEastAsia"/>
              <w:sz w:val="22"/>
              <w:szCs w:val="24"/>
              <w14:ligatures w14:val="standardContextual"/>
            </w:rPr>
          </w:pPr>
          <w:r>
            <w:fldChar w:fldCharType="begin"/>
          </w:r>
          <w:r>
            <w:instrText xml:space="preserve"> HYPERLINK \l "_Toc235285699" </w:instrText>
          </w:r>
          <w:r>
            <w:fldChar w:fldCharType="separate"/>
          </w:r>
          <w:r>
            <w:rPr>
              <w:rStyle w:val="38"/>
            </w:rPr>
            <w:t>1.3 核心设计目标</w:t>
          </w:r>
          <w:r>
            <w:tab/>
          </w:r>
          <w:r>
            <w:fldChar w:fldCharType="begin"/>
          </w:r>
          <w:r>
            <w:instrText xml:space="preserve"> PAGEREF _Toc235285699 \h </w:instrText>
          </w:r>
          <w:r>
            <w:fldChar w:fldCharType="separate"/>
          </w:r>
          <w:r>
            <w:t>6</w:t>
          </w:r>
          <w:r>
            <w:fldChar w:fldCharType="end"/>
          </w:r>
          <w:r>
            <w:fldChar w:fldCharType="end"/>
          </w:r>
        </w:p>
        <w:p w14:paraId="56C2FDDB">
          <w:pPr>
            <w:pStyle w:val="24"/>
            <w:rPr>
              <w:rFonts w:asciiTheme="minorHAnsi" w:hAnsiTheme="minorHAnsi" w:eastAsiaTheme="minorEastAsia"/>
              <w:b w:val="0"/>
              <w:sz w:val="22"/>
              <w:szCs w:val="24"/>
              <w14:ligatures w14:val="standardContextual"/>
            </w:rPr>
          </w:pPr>
          <w:r>
            <w:fldChar w:fldCharType="begin"/>
          </w:r>
          <w:r>
            <w:instrText xml:space="preserve"> HYPERLINK \l "_Toc235285700" </w:instrText>
          </w:r>
          <w:r>
            <w:fldChar w:fldCharType="separate"/>
          </w:r>
          <w:r>
            <w:rPr>
              <w:rStyle w:val="38"/>
            </w:rPr>
            <w:t>2. 完整系统架构</w:t>
          </w:r>
          <w:r>
            <w:tab/>
          </w:r>
          <w:r>
            <w:fldChar w:fldCharType="begin"/>
          </w:r>
          <w:r>
            <w:instrText xml:space="preserve"> PAGEREF _Toc235285700 \h </w:instrText>
          </w:r>
          <w:r>
            <w:fldChar w:fldCharType="separate"/>
          </w:r>
          <w:r>
            <w:t>7</w:t>
          </w:r>
          <w:r>
            <w:fldChar w:fldCharType="end"/>
          </w:r>
          <w:r>
            <w:fldChar w:fldCharType="end"/>
          </w:r>
        </w:p>
        <w:p w14:paraId="11918D48">
          <w:pPr>
            <w:pStyle w:val="29"/>
            <w:rPr>
              <w:rFonts w:asciiTheme="minorHAnsi" w:hAnsiTheme="minorHAnsi" w:eastAsiaTheme="minorEastAsia"/>
              <w:sz w:val="22"/>
              <w:szCs w:val="24"/>
              <w14:ligatures w14:val="standardContextual"/>
            </w:rPr>
          </w:pPr>
          <w:r>
            <w:fldChar w:fldCharType="begin"/>
          </w:r>
          <w:r>
            <w:instrText xml:space="preserve"> HYPERLINK \l "_Toc235285701" </w:instrText>
          </w:r>
          <w:r>
            <w:fldChar w:fldCharType="separate"/>
          </w:r>
          <w:r>
            <w:rPr>
              <w:rStyle w:val="38"/>
            </w:rPr>
            <w:t>2.1 执行层视角下的系统架构</w:t>
          </w:r>
          <w:r>
            <w:tab/>
          </w:r>
          <w:r>
            <w:fldChar w:fldCharType="begin"/>
          </w:r>
          <w:r>
            <w:instrText xml:space="preserve"> PAGEREF _Toc235285701 \h </w:instrText>
          </w:r>
          <w:r>
            <w:fldChar w:fldCharType="separate"/>
          </w:r>
          <w:r>
            <w:t>7</w:t>
          </w:r>
          <w:r>
            <w:fldChar w:fldCharType="end"/>
          </w:r>
          <w:r>
            <w:fldChar w:fldCharType="end"/>
          </w:r>
        </w:p>
        <w:p w14:paraId="17E5CB04">
          <w:pPr>
            <w:pStyle w:val="29"/>
            <w:rPr>
              <w:rFonts w:asciiTheme="minorHAnsi" w:hAnsiTheme="minorHAnsi" w:eastAsiaTheme="minorEastAsia"/>
              <w:sz w:val="22"/>
              <w:szCs w:val="24"/>
              <w14:ligatures w14:val="standardContextual"/>
            </w:rPr>
          </w:pPr>
          <w:r>
            <w:fldChar w:fldCharType="begin"/>
          </w:r>
          <w:r>
            <w:instrText xml:space="preserve"> HYPERLINK \l "_Toc235285702" </w:instrText>
          </w:r>
          <w:r>
            <w:fldChar w:fldCharType="separate"/>
          </w:r>
          <w:r>
            <w:rPr>
              <w:rStyle w:val="38"/>
            </w:rPr>
            <w:t>2.2 执行层整体定位</w:t>
          </w:r>
          <w:r>
            <w:tab/>
          </w:r>
          <w:r>
            <w:fldChar w:fldCharType="begin"/>
          </w:r>
          <w:r>
            <w:instrText xml:space="preserve"> PAGEREF _Toc235285702 \h </w:instrText>
          </w:r>
          <w:r>
            <w:fldChar w:fldCharType="separate"/>
          </w:r>
          <w:r>
            <w:t>8</w:t>
          </w:r>
          <w:r>
            <w:fldChar w:fldCharType="end"/>
          </w:r>
          <w:r>
            <w:fldChar w:fldCharType="end"/>
          </w:r>
        </w:p>
        <w:p w14:paraId="65AA1358">
          <w:pPr>
            <w:pStyle w:val="24"/>
            <w:rPr>
              <w:rFonts w:asciiTheme="minorHAnsi" w:hAnsiTheme="minorHAnsi" w:eastAsiaTheme="minorEastAsia"/>
              <w:b w:val="0"/>
              <w:sz w:val="22"/>
              <w:szCs w:val="24"/>
              <w14:ligatures w14:val="standardContextual"/>
            </w:rPr>
          </w:pPr>
          <w:r>
            <w:fldChar w:fldCharType="begin"/>
          </w:r>
          <w:r>
            <w:instrText xml:space="preserve"> HYPERLINK \l "_Toc235285703" </w:instrText>
          </w:r>
          <w:r>
            <w:fldChar w:fldCharType="separate"/>
          </w:r>
          <w:r>
            <w:rPr>
              <w:rStyle w:val="38"/>
            </w:rPr>
            <w:t>3. 执行层总体框架</w:t>
          </w:r>
          <w:r>
            <w:tab/>
          </w:r>
          <w:r>
            <w:fldChar w:fldCharType="begin"/>
          </w:r>
          <w:r>
            <w:instrText xml:space="preserve"> PAGEREF _Toc235285703 \h </w:instrText>
          </w:r>
          <w:r>
            <w:fldChar w:fldCharType="separate"/>
          </w:r>
          <w:r>
            <w:t>8</w:t>
          </w:r>
          <w:r>
            <w:fldChar w:fldCharType="end"/>
          </w:r>
          <w:r>
            <w:fldChar w:fldCharType="end"/>
          </w:r>
        </w:p>
        <w:p w14:paraId="48B50E54">
          <w:pPr>
            <w:pStyle w:val="29"/>
            <w:rPr>
              <w:rFonts w:asciiTheme="minorHAnsi" w:hAnsiTheme="minorHAnsi" w:eastAsiaTheme="minorEastAsia"/>
              <w:sz w:val="22"/>
              <w:szCs w:val="24"/>
              <w14:ligatures w14:val="standardContextual"/>
            </w:rPr>
          </w:pPr>
          <w:r>
            <w:fldChar w:fldCharType="begin"/>
          </w:r>
          <w:r>
            <w:instrText xml:space="preserve"> HYPERLINK \l "_Toc235285704" </w:instrText>
          </w:r>
          <w:r>
            <w:fldChar w:fldCharType="separate"/>
          </w:r>
          <w:r>
            <w:rPr>
              <w:rStyle w:val="38"/>
            </w:rPr>
            <w:t>3.1 设计约束与框架</w:t>
          </w:r>
          <w:r>
            <w:tab/>
          </w:r>
          <w:r>
            <w:fldChar w:fldCharType="begin"/>
          </w:r>
          <w:r>
            <w:instrText xml:space="preserve"> PAGEREF _Toc235285704 \h </w:instrText>
          </w:r>
          <w:r>
            <w:fldChar w:fldCharType="separate"/>
          </w:r>
          <w:r>
            <w:t>9</w:t>
          </w:r>
          <w:r>
            <w:fldChar w:fldCharType="end"/>
          </w:r>
          <w:r>
            <w:fldChar w:fldCharType="end"/>
          </w:r>
        </w:p>
        <w:p w14:paraId="64F393EA">
          <w:pPr>
            <w:pStyle w:val="29"/>
            <w:rPr>
              <w:rFonts w:asciiTheme="minorHAnsi" w:hAnsiTheme="minorHAnsi" w:eastAsiaTheme="minorEastAsia"/>
              <w:sz w:val="22"/>
              <w:szCs w:val="24"/>
              <w14:ligatures w14:val="standardContextual"/>
            </w:rPr>
          </w:pPr>
          <w:r>
            <w:fldChar w:fldCharType="begin"/>
          </w:r>
          <w:r>
            <w:instrText xml:space="preserve"> HYPERLINK \l "_Toc235285705" </w:instrText>
          </w:r>
          <w:r>
            <w:fldChar w:fldCharType="separate"/>
          </w:r>
          <w:r>
            <w:rPr>
              <w:rStyle w:val="38"/>
            </w:rPr>
            <w:t>3.2 确定性执行内核</w:t>
          </w:r>
          <w:r>
            <w:tab/>
          </w:r>
          <w:r>
            <w:fldChar w:fldCharType="begin"/>
          </w:r>
          <w:r>
            <w:instrText xml:space="preserve"> PAGEREF _Toc235285705 \h </w:instrText>
          </w:r>
          <w:r>
            <w:fldChar w:fldCharType="separate"/>
          </w:r>
          <w:r>
            <w:t>10</w:t>
          </w:r>
          <w:r>
            <w:fldChar w:fldCharType="end"/>
          </w:r>
          <w:r>
            <w:fldChar w:fldCharType="end"/>
          </w:r>
        </w:p>
        <w:p w14:paraId="6F7E6B52">
          <w:pPr>
            <w:pStyle w:val="29"/>
            <w:rPr>
              <w:rFonts w:asciiTheme="minorHAnsi" w:hAnsiTheme="minorHAnsi" w:eastAsiaTheme="minorEastAsia"/>
              <w:sz w:val="22"/>
              <w:szCs w:val="24"/>
              <w14:ligatures w14:val="standardContextual"/>
            </w:rPr>
          </w:pPr>
          <w:r>
            <w:fldChar w:fldCharType="begin"/>
          </w:r>
          <w:r>
            <w:instrText xml:space="preserve"> HYPERLINK \l "_Toc235285706" </w:instrText>
          </w:r>
          <w:r>
            <w:fldChar w:fldCharType="separate"/>
          </w:r>
          <w:r>
            <w:rPr>
              <w:rStyle w:val="38"/>
            </w:rPr>
            <w:t>3.3 输入输出边界</w:t>
          </w:r>
          <w:r>
            <w:tab/>
          </w:r>
          <w:r>
            <w:fldChar w:fldCharType="begin"/>
          </w:r>
          <w:r>
            <w:instrText xml:space="preserve"> PAGEREF _Toc235285706 \h </w:instrText>
          </w:r>
          <w:r>
            <w:fldChar w:fldCharType="separate"/>
          </w:r>
          <w:r>
            <w:t>10</w:t>
          </w:r>
          <w:r>
            <w:fldChar w:fldCharType="end"/>
          </w:r>
          <w:r>
            <w:fldChar w:fldCharType="end"/>
          </w:r>
        </w:p>
        <w:p w14:paraId="5FE81788">
          <w:pPr>
            <w:pStyle w:val="29"/>
            <w:rPr>
              <w:rFonts w:asciiTheme="minorHAnsi" w:hAnsiTheme="minorHAnsi" w:eastAsiaTheme="minorEastAsia"/>
              <w:sz w:val="22"/>
              <w:szCs w:val="24"/>
              <w14:ligatures w14:val="standardContextual"/>
            </w:rPr>
          </w:pPr>
          <w:r>
            <w:fldChar w:fldCharType="begin"/>
          </w:r>
          <w:r>
            <w:instrText xml:space="preserve"> HYPERLINK \l "_Toc235285707" </w:instrText>
          </w:r>
          <w:r>
            <w:fldChar w:fldCharType="separate"/>
          </w:r>
          <w:r>
            <w:rPr>
              <w:rStyle w:val="38"/>
            </w:rPr>
            <w:t>3.4 内部功能模块</w:t>
          </w:r>
          <w:r>
            <w:tab/>
          </w:r>
          <w:r>
            <w:fldChar w:fldCharType="begin"/>
          </w:r>
          <w:r>
            <w:instrText xml:space="preserve"> PAGEREF _Toc235285707 \h </w:instrText>
          </w:r>
          <w:r>
            <w:fldChar w:fldCharType="separate"/>
          </w:r>
          <w:r>
            <w:t>11</w:t>
          </w:r>
          <w:r>
            <w:fldChar w:fldCharType="end"/>
          </w:r>
          <w:r>
            <w:fldChar w:fldCharType="end"/>
          </w:r>
        </w:p>
        <w:p w14:paraId="65DBA814">
          <w:pPr>
            <w:pStyle w:val="24"/>
            <w:rPr>
              <w:rFonts w:asciiTheme="minorHAnsi" w:hAnsiTheme="minorHAnsi" w:eastAsiaTheme="minorEastAsia"/>
              <w:b w:val="0"/>
              <w:sz w:val="22"/>
              <w:szCs w:val="24"/>
              <w14:ligatures w14:val="standardContextual"/>
            </w:rPr>
          </w:pPr>
          <w:r>
            <w:fldChar w:fldCharType="begin"/>
          </w:r>
          <w:r>
            <w:instrText xml:space="preserve"> HYPERLINK \l "_Toc235285708" </w:instrText>
          </w:r>
          <w:r>
            <w:fldChar w:fldCharType="separate"/>
          </w:r>
          <w:r>
            <w:rPr>
              <w:rStyle w:val="38"/>
            </w:rPr>
            <w:t>4. 执行层与其他子系统交互关系</w:t>
          </w:r>
          <w:r>
            <w:tab/>
          </w:r>
          <w:r>
            <w:fldChar w:fldCharType="begin"/>
          </w:r>
          <w:r>
            <w:instrText xml:space="preserve"> PAGEREF _Toc235285708 \h </w:instrText>
          </w:r>
          <w:r>
            <w:fldChar w:fldCharType="separate"/>
          </w:r>
          <w:r>
            <w:t>12</w:t>
          </w:r>
          <w:r>
            <w:fldChar w:fldCharType="end"/>
          </w:r>
          <w:r>
            <w:fldChar w:fldCharType="end"/>
          </w:r>
        </w:p>
        <w:p w14:paraId="36CBE1C8">
          <w:pPr>
            <w:pStyle w:val="29"/>
            <w:rPr>
              <w:rFonts w:asciiTheme="minorHAnsi" w:hAnsiTheme="minorHAnsi" w:eastAsiaTheme="minorEastAsia"/>
              <w:sz w:val="22"/>
              <w:szCs w:val="24"/>
              <w14:ligatures w14:val="standardContextual"/>
            </w:rPr>
          </w:pPr>
          <w:r>
            <w:fldChar w:fldCharType="begin"/>
          </w:r>
          <w:r>
            <w:instrText xml:space="preserve"> HYPERLINK \l "_Toc235285709" </w:instrText>
          </w:r>
          <w:r>
            <w:fldChar w:fldCharType="separate"/>
          </w:r>
          <w:r>
            <w:rPr>
              <w:rStyle w:val="38"/>
            </w:rPr>
            <w:t>4.1 共识层</w:t>
          </w:r>
          <w:r>
            <w:tab/>
          </w:r>
          <w:r>
            <w:fldChar w:fldCharType="begin"/>
          </w:r>
          <w:r>
            <w:instrText xml:space="preserve"> PAGEREF _Toc235285709 \h </w:instrText>
          </w:r>
          <w:r>
            <w:fldChar w:fldCharType="separate"/>
          </w:r>
          <w:r>
            <w:t>13</w:t>
          </w:r>
          <w:r>
            <w:fldChar w:fldCharType="end"/>
          </w:r>
          <w:r>
            <w:fldChar w:fldCharType="end"/>
          </w:r>
        </w:p>
        <w:p w14:paraId="46A17951">
          <w:pPr>
            <w:pStyle w:val="18"/>
            <w:rPr>
              <w:rFonts w:asciiTheme="minorHAnsi" w:hAnsiTheme="minorHAnsi" w:eastAsiaTheme="minorEastAsia"/>
              <w:sz w:val="22"/>
              <w:szCs w:val="24"/>
              <w14:ligatures w14:val="standardContextual"/>
            </w:rPr>
          </w:pPr>
          <w:r>
            <w:fldChar w:fldCharType="begin"/>
          </w:r>
          <w:r>
            <w:instrText xml:space="preserve"> HYPERLINK \l "_Toc235285710" </w:instrText>
          </w:r>
          <w:r>
            <w:fldChar w:fldCharType="separate"/>
          </w:r>
          <w:r>
            <w:rPr>
              <w:rStyle w:val="38"/>
            </w:rPr>
            <w:t>4.1.1 委员会共识</w:t>
          </w:r>
          <w:r>
            <w:tab/>
          </w:r>
          <w:r>
            <w:fldChar w:fldCharType="begin"/>
          </w:r>
          <w:r>
            <w:instrText xml:space="preserve"> PAGEREF _Toc235285710 \h </w:instrText>
          </w:r>
          <w:r>
            <w:fldChar w:fldCharType="separate"/>
          </w:r>
          <w:r>
            <w:t>13</w:t>
          </w:r>
          <w:r>
            <w:fldChar w:fldCharType="end"/>
          </w:r>
          <w:r>
            <w:fldChar w:fldCharType="end"/>
          </w:r>
        </w:p>
        <w:p w14:paraId="3BB7F317">
          <w:pPr>
            <w:pStyle w:val="18"/>
            <w:rPr>
              <w:rFonts w:asciiTheme="minorHAnsi" w:hAnsiTheme="minorHAnsi" w:eastAsiaTheme="minorEastAsia"/>
              <w:sz w:val="22"/>
              <w:szCs w:val="24"/>
              <w14:ligatures w14:val="standardContextual"/>
            </w:rPr>
          </w:pPr>
          <w:r>
            <w:fldChar w:fldCharType="begin"/>
          </w:r>
          <w:r>
            <w:instrText xml:space="preserve"> HYPERLINK \l "_Toc235285711" </w:instrText>
          </w:r>
          <w:r>
            <w:fldChar w:fldCharType="separate"/>
          </w:r>
          <w:r>
            <w:rPr>
              <w:rStyle w:val="38"/>
            </w:rPr>
            <w:t>4.1.2 PoT共识</w:t>
          </w:r>
          <w:r>
            <w:tab/>
          </w:r>
          <w:r>
            <w:fldChar w:fldCharType="begin"/>
          </w:r>
          <w:r>
            <w:instrText xml:space="preserve"> PAGEREF _Toc235285711 \h </w:instrText>
          </w:r>
          <w:r>
            <w:fldChar w:fldCharType="separate"/>
          </w:r>
          <w:r>
            <w:t>14</w:t>
          </w:r>
          <w:r>
            <w:fldChar w:fldCharType="end"/>
          </w:r>
          <w:r>
            <w:fldChar w:fldCharType="end"/>
          </w:r>
        </w:p>
        <w:p w14:paraId="1AF58AF4">
          <w:pPr>
            <w:pStyle w:val="29"/>
            <w:rPr>
              <w:rFonts w:asciiTheme="minorHAnsi" w:hAnsiTheme="minorHAnsi" w:eastAsiaTheme="minorEastAsia"/>
              <w:sz w:val="22"/>
              <w:szCs w:val="24"/>
              <w14:ligatures w14:val="standardContextual"/>
            </w:rPr>
          </w:pPr>
          <w:r>
            <w:fldChar w:fldCharType="begin"/>
          </w:r>
          <w:r>
            <w:instrText xml:space="preserve"> HYPERLINK \l "_Toc235285712" </w:instrText>
          </w:r>
          <w:r>
            <w:fldChar w:fldCharType="separate"/>
          </w:r>
          <w:r>
            <w:rPr>
              <w:rStyle w:val="38"/>
            </w:rPr>
            <w:t>4.2 网络层</w:t>
          </w:r>
          <w:r>
            <w:tab/>
          </w:r>
          <w:r>
            <w:fldChar w:fldCharType="begin"/>
          </w:r>
          <w:r>
            <w:instrText xml:space="preserve"> PAGEREF _Toc235285712 \h </w:instrText>
          </w:r>
          <w:r>
            <w:fldChar w:fldCharType="separate"/>
          </w:r>
          <w:r>
            <w:t>15</w:t>
          </w:r>
          <w:r>
            <w:fldChar w:fldCharType="end"/>
          </w:r>
          <w:r>
            <w:fldChar w:fldCharType="end"/>
          </w:r>
        </w:p>
        <w:p w14:paraId="58E08510">
          <w:pPr>
            <w:pStyle w:val="29"/>
            <w:rPr>
              <w:rFonts w:asciiTheme="minorHAnsi" w:hAnsiTheme="minorHAnsi" w:eastAsiaTheme="minorEastAsia"/>
              <w:sz w:val="22"/>
              <w:szCs w:val="24"/>
              <w14:ligatures w14:val="standardContextual"/>
            </w:rPr>
          </w:pPr>
          <w:r>
            <w:fldChar w:fldCharType="begin"/>
          </w:r>
          <w:r>
            <w:instrText xml:space="preserve"> HYPERLINK \l "_Toc235285713" </w:instrText>
          </w:r>
          <w:r>
            <w:fldChar w:fldCharType="separate"/>
          </w:r>
          <w:r>
            <w:rPr>
              <w:rStyle w:val="38"/>
            </w:rPr>
            <w:t>4.3 转账区</w:t>
          </w:r>
          <w:r>
            <w:tab/>
          </w:r>
          <w:r>
            <w:fldChar w:fldCharType="begin"/>
          </w:r>
          <w:r>
            <w:instrText xml:space="preserve"> PAGEREF _Toc235285713 \h </w:instrText>
          </w:r>
          <w:r>
            <w:fldChar w:fldCharType="separate"/>
          </w:r>
          <w:r>
            <w:t>15</w:t>
          </w:r>
          <w:r>
            <w:fldChar w:fldCharType="end"/>
          </w:r>
          <w:r>
            <w:fldChar w:fldCharType="end"/>
          </w:r>
        </w:p>
        <w:p w14:paraId="385D8929">
          <w:pPr>
            <w:pStyle w:val="29"/>
            <w:rPr>
              <w:rFonts w:asciiTheme="minorHAnsi" w:hAnsiTheme="minorHAnsi" w:eastAsiaTheme="minorEastAsia"/>
              <w:sz w:val="22"/>
              <w:szCs w:val="24"/>
              <w14:ligatures w14:val="standardContextual"/>
            </w:rPr>
          </w:pPr>
          <w:r>
            <w:fldChar w:fldCharType="begin"/>
          </w:r>
          <w:r>
            <w:instrText xml:space="preserve"> HYPERLINK \l "_Toc235285714" </w:instrText>
          </w:r>
          <w:r>
            <w:fldChar w:fldCharType="separate"/>
          </w:r>
          <w:r>
            <w:rPr>
              <w:rStyle w:val="38"/>
            </w:rPr>
            <w:t>4.4 跨链区</w:t>
          </w:r>
          <w:r>
            <w:tab/>
          </w:r>
          <w:r>
            <w:fldChar w:fldCharType="begin"/>
          </w:r>
          <w:r>
            <w:instrText xml:space="preserve"> PAGEREF _Toc235285714 \h </w:instrText>
          </w:r>
          <w:r>
            <w:fldChar w:fldCharType="separate"/>
          </w:r>
          <w:r>
            <w:t>16</w:t>
          </w:r>
          <w:r>
            <w:fldChar w:fldCharType="end"/>
          </w:r>
          <w:r>
            <w:fldChar w:fldCharType="end"/>
          </w:r>
        </w:p>
        <w:p w14:paraId="7763B545">
          <w:pPr>
            <w:pStyle w:val="29"/>
            <w:rPr>
              <w:rFonts w:asciiTheme="minorHAnsi" w:hAnsiTheme="minorHAnsi" w:eastAsiaTheme="minorEastAsia"/>
              <w:sz w:val="22"/>
              <w:szCs w:val="24"/>
              <w14:ligatures w14:val="standardContextual"/>
            </w:rPr>
          </w:pPr>
          <w:r>
            <w:fldChar w:fldCharType="begin"/>
          </w:r>
          <w:r>
            <w:instrText xml:space="preserve"> HYPERLINK \l "_Toc235285715" </w:instrText>
          </w:r>
          <w:r>
            <w:fldChar w:fldCharType="separate"/>
          </w:r>
          <w:r>
            <w:rPr>
              <w:rStyle w:val="38"/>
            </w:rPr>
            <w:t>4.5 交易区</w:t>
          </w:r>
          <w:r>
            <w:tab/>
          </w:r>
          <w:r>
            <w:fldChar w:fldCharType="begin"/>
          </w:r>
          <w:r>
            <w:instrText xml:space="preserve"> PAGEREF _Toc235285715 \h </w:instrText>
          </w:r>
          <w:r>
            <w:fldChar w:fldCharType="separate"/>
          </w:r>
          <w:r>
            <w:t>16</w:t>
          </w:r>
          <w:r>
            <w:fldChar w:fldCharType="end"/>
          </w:r>
          <w:r>
            <w:fldChar w:fldCharType="end"/>
          </w:r>
        </w:p>
        <w:p w14:paraId="472E0DEE">
          <w:pPr>
            <w:pStyle w:val="29"/>
            <w:rPr>
              <w:rFonts w:asciiTheme="minorHAnsi" w:hAnsiTheme="minorHAnsi" w:eastAsiaTheme="minorEastAsia"/>
              <w:sz w:val="22"/>
              <w:szCs w:val="24"/>
              <w14:ligatures w14:val="standardContextual"/>
            </w:rPr>
          </w:pPr>
          <w:r>
            <w:fldChar w:fldCharType="begin"/>
          </w:r>
          <w:r>
            <w:instrText xml:space="preserve"> HYPERLINK \l "_Toc235285716" </w:instrText>
          </w:r>
          <w:r>
            <w:fldChar w:fldCharType="separate"/>
          </w:r>
          <w:r>
            <w:rPr>
              <w:rStyle w:val="38"/>
            </w:rPr>
            <w:t>4.6 存储区</w:t>
          </w:r>
          <w:r>
            <w:tab/>
          </w:r>
          <w:r>
            <w:fldChar w:fldCharType="begin"/>
          </w:r>
          <w:r>
            <w:instrText xml:space="preserve"> PAGEREF _Toc235285716 \h </w:instrText>
          </w:r>
          <w:r>
            <w:fldChar w:fldCharType="separate"/>
          </w:r>
          <w:r>
            <w:t>17</w:t>
          </w:r>
          <w:r>
            <w:fldChar w:fldCharType="end"/>
          </w:r>
          <w:r>
            <w:fldChar w:fldCharType="end"/>
          </w:r>
        </w:p>
        <w:p w14:paraId="4CD932A9">
          <w:pPr>
            <w:pStyle w:val="29"/>
            <w:rPr>
              <w:rFonts w:asciiTheme="minorHAnsi" w:hAnsiTheme="minorHAnsi" w:eastAsiaTheme="minorEastAsia"/>
              <w:sz w:val="22"/>
              <w:szCs w:val="24"/>
              <w14:ligatures w14:val="standardContextual"/>
            </w:rPr>
          </w:pPr>
          <w:r>
            <w:fldChar w:fldCharType="begin"/>
          </w:r>
          <w:r>
            <w:instrText xml:space="preserve"> HYPERLINK \l "_Toc235285717" </w:instrText>
          </w:r>
          <w:r>
            <w:fldChar w:fldCharType="separate"/>
          </w:r>
          <w:r>
            <w:rPr>
              <w:rStyle w:val="38"/>
            </w:rPr>
            <w:t>4.7 链下计算区</w:t>
          </w:r>
          <w:r>
            <w:tab/>
          </w:r>
          <w:r>
            <w:fldChar w:fldCharType="begin"/>
          </w:r>
          <w:r>
            <w:instrText xml:space="preserve"> PAGEREF _Toc235285717 \h </w:instrText>
          </w:r>
          <w:r>
            <w:fldChar w:fldCharType="separate"/>
          </w:r>
          <w:r>
            <w:t>17</w:t>
          </w:r>
          <w:r>
            <w:fldChar w:fldCharType="end"/>
          </w:r>
          <w:r>
            <w:fldChar w:fldCharType="end"/>
          </w:r>
        </w:p>
        <w:p w14:paraId="43795702">
          <w:pPr>
            <w:pStyle w:val="29"/>
            <w:rPr>
              <w:rFonts w:asciiTheme="minorHAnsi" w:hAnsiTheme="minorHAnsi" w:eastAsiaTheme="minorEastAsia"/>
              <w:sz w:val="22"/>
              <w:szCs w:val="24"/>
              <w14:ligatures w14:val="standardContextual"/>
            </w:rPr>
          </w:pPr>
          <w:r>
            <w:fldChar w:fldCharType="begin"/>
          </w:r>
          <w:r>
            <w:instrText xml:space="preserve"> HYPERLINK \l "_Toc235285718" </w:instrText>
          </w:r>
          <w:r>
            <w:fldChar w:fldCharType="separate"/>
          </w:r>
          <w:r>
            <w:rPr>
              <w:rStyle w:val="38"/>
            </w:rPr>
            <w:t>4.8 治理区</w:t>
          </w:r>
          <w:r>
            <w:tab/>
          </w:r>
          <w:r>
            <w:fldChar w:fldCharType="begin"/>
          </w:r>
          <w:r>
            <w:instrText xml:space="preserve"> PAGEREF _Toc235285718 \h </w:instrText>
          </w:r>
          <w:r>
            <w:fldChar w:fldCharType="separate"/>
          </w:r>
          <w:r>
            <w:t>18</w:t>
          </w:r>
          <w:r>
            <w:fldChar w:fldCharType="end"/>
          </w:r>
          <w:r>
            <w:fldChar w:fldCharType="end"/>
          </w:r>
        </w:p>
        <w:p w14:paraId="210BCADC">
          <w:pPr>
            <w:pStyle w:val="29"/>
            <w:rPr>
              <w:rFonts w:asciiTheme="minorHAnsi" w:hAnsiTheme="minorHAnsi" w:eastAsiaTheme="minorEastAsia"/>
              <w:sz w:val="22"/>
              <w:szCs w:val="24"/>
              <w14:ligatures w14:val="standardContextual"/>
            </w:rPr>
          </w:pPr>
          <w:r>
            <w:fldChar w:fldCharType="begin"/>
          </w:r>
          <w:r>
            <w:instrText xml:space="preserve"> HYPERLINK \l "_Toc235285719" </w:instrText>
          </w:r>
          <w:r>
            <w:fldChar w:fldCharType="separate"/>
          </w:r>
          <w:r>
            <w:rPr>
              <w:rStyle w:val="38"/>
            </w:rPr>
            <w:t>4.9 客户端（应用层）</w:t>
          </w:r>
          <w:r>
            <w:tab/>
          </w:r>
          <w:r>
            <w:fldChar w:fldCharType="begin"/>
          </w:r>
          <w:r>
            <w:instrText xml:space="preserve"> PAGEREF _Toc235285719 \h </w:instrText>
          </w:r>
          <w:r>
            <w:fldChar w:fldCharType="separate"/>
          </w:r>
          <w:r>
            <w:t>18</w:t>
          </w:r>
          <w:r>
            <w:fldChar w:fldCharType="end"/>
          </w:r>
          <w:r>
            <w:fldChar w:fldCharType="end"/>
          </w:r>
        </w:p>
        <w:p w14:paraId="5C72194F">
          <w:pPr>
            <w:pStyle w:val="24"/>
            <w:rPr>
              <w:rFonts w:asciiTheme="minorHAnsi" w:hAnsiTheme="minorHAnsi" w:eastAsiaTheme="minorEastAsia"/>
              <w:b w:val="0"/>
              <w:sz w:val="22"/>
              <w:szCs w:val="24"/>
              <w14:ligatures w14:val="standardContextual"/>
            </w:rPr>
          </w:pPr>
          <w:r>
            <w:fldChar w:fldCharType="begin"/>
          </w:r>
          <w:r>
            <w:instrText xml:space="preserve"> HYPERLINK \l "_Toc235285720" </w:instrText>
          </w:r>
          <w:r>
            <w:fldChar w:fldCharType="separate"/>
          </w:r>
          <w:r>
            <w:rPr>
              <w:rStyle w:val="38"/>
            </w:rPr>
            <w:t>5. 执行层模块体系</w:t>
          </w:r>
          <w:r>
            <w:tab/>
          </w:r>
          <w:r>
            <w:fldChar w:fldCharType="begin"/>
          </w:r>
          <w:r>
            <w:instrText xml:space="preserve"> PAGEREF _Toc235285720 \h </w:instrText>
          </w:r>
          <w:r>
            <w:fldChar w:fldCharType="separate"/>
          </w:r>
          <w:r>
            <w:t>19</w:t>
          </w:r>
          <w:r>
            <w:fldChar w:fldCharType="end"/>
          </w:r>
          <w:r>
            <w:fldChar w:fldCharType="end"/>
          </w:r>
        </w:p>
        <w:p w14:paraId="2041DF2A">
          <w:pPr>
            <w:pStyle w:val="29"/>
            <w:rPr>
              <w:rFonts w:asciiTheme="minorHAnsi" w:hAnsiTheme="minorHAnsi" w:eastAsiaTheme="minorEastAsia"/>
              <w:sz w:val="22"/>
              <w:szCs w:val="24"/>
              <w14:ligatures w14:val="standardContextual"/>
            </w:rPr>
          </w:pPr>
          <w:r>
            <w:fldChar w:fldCharType="begin"/>
          </w:r>
          <w:r>
            <w:instrText xml:space="preserve"> HYPERLINK \l "_Toc235285721" </w:instrText>
          </w:r>
          <w:r>
            <w:fldChar w:fldCharType="separate"/>
          </w:r>
          <w:r>
            <w:rPr>
              <w:rStyle w:val="38"/>
            </w:rPr>
            <w:t>5.1 交易接入类</w:t>
          </w:r>
          <w:r>
            <w:tab/>
          </w:r>
          <w:r>
            <w:fldChar w:fldCharType="begin"/>
          </w:r>
          <w:r>
            <w:instrText xml:space="preserve"> PAGEREF _Toc235285721 \h </w:instrText>
          </w:r>
          <w:r>
            <w:fldChar w:fldCharType="separate"/>
          </w:r>
          <w:r>
            <w:t>19</w:t>
          </w:r>
          <w:r>
            <w:fldChar w:fldCharType="end"/>
          </w:r>
          <w:r>
            <w:fldChar w:fldCharType="end"/>
          </w:r>
        </w:p>
        <w:p w14:paraId="1A1B2494">
          <w:pPr>
            <w:pStyle w:val="18"/>
            <w:rPr>
              <w:rFonts w:asciiTheme="minorHAnsi" w:hAnsiTheme="minorHAnsi" w:eastAsiaTheme="minorEastAsia"/>
              <w:sz w:val="22"/>
              <w:szCs w:val="24"/>
              <w14:ligatures w14:val="standardContextual"/>
            </w:rPr>
          </w:pPr>
          <w:r>
            <w:fldChar w:fldCharType="begin"/>
          </w:r>
          <w:r>
            <w:instrText xml:space="preserve"> HYPERLINK \l "_Toc235285722" </w:instrText>
          </w:r>
          <w:r>
            <w:fldChar w:fldCharType="separate"/>
          </w:r>
          <w:r>
            <w:rPr>
              <w:rStyle w:val="38"/>
            </w:rPr>
            <w:t>5.1.1 接入服务模块</w:t>
          </w:r>
          <w:r>
            <w:tab/>
          </w:r>
          <w:r>
            <w:fldChar w:fldCharType="begin"/>
          </w:r>
          <w:r>
            <w:instrText xml:space="preserve"> PAGEREF _Toc235285722 \h </w:instrText>
          </w:r>
          <w:r>
            <w:fldChar w:fldCharType="separate"/>
          </w:r>
          <w:r>
            <w:t>19</w:t>
          </w:r>
          <w:r>
            <w:fldChar w:fldCharType="end"/>
          </w:r>
          <w:r>
            <w:fldChar w:fldCharType="end"/>
          </w:r>
        </w:p>
        <w:p w14:paraId="1E56FED6">
          <w:pPr>
            <w:pStyle w:val="18"/>
            <w:rPr>
              <w:rFonts w:asciiTheme="minorHAnsi" w:hAnsiTheme="minorHAnsi" w:eastAsiaTheme="minorEastAsia"/>
              <w:sz w:val="22"/>
              <w:szCs w:val="24"/>
              <w14:ligatures w14:val="standardContextual"/>
            </w:rPr>
          </w:pPr>
          <w:r>
            <w:fldChar w:fldCharType="begin"/>
          </w:r>
          <w:r>
            <w:instrText xml:space="preserve"> HYPERLINK \l "_Toc235285723" </w:instrText>
          </w:r>
          <w:r>
            <w:fldChar w:fldCharType="separate"/>
          </w:r>
          <w:r>
            <w:rPr>
              <w:rStyle w:val="38"/>
            </w:rPr>
            <w:t>5.1.2 交易类型模块</w:t>
          </w:r>
          <w:r>
            <w:tab/>
          </w:r>
          <w:r>
            <w:fldChar w:fldCharType="begin"/>
          </w:r>
          <w:r>
            <w:instrText xml:space="preserve"> PAGEREF _Toc235285723 \h </w:instrText>
          </w:r>
          <w:r>
            <w:fldChar w:fldCharType="separate"/>
          </w:r>
          <w:r>
            <w:t>19</w:t>
          </w:r>
          <w:r>
            <w:fldChar w:fldCharType="end"/>
          </w:r>
          <w:r>
            <w:fldChar w:fldCharType="end"/>
          </w:r>
        </w:p>
        <w:p w14:paraId="0A7B0CA5">
          <w:pPr>
            <w:pStyle w:val="29"/>
            <w:rPr>
              <w:rFonts w:asciiTheme="minorHAnsi" w:hAnsiTheme="minorHAnsi" w:eastAsiaTheme="minorEastAsia"/>
              <w:sz w:val="22"/>
              <w:szCs w:val="24"/>
              <w14:ligatures w14:val="standardContextual"/>
            </w:rPr>
          </w:pPr>
          <w:r>
            <w:fldChar w:fldCharType="begin"/>
          </w:r>
          <w:r>
            <w:instrText xml:space="preserve"> HYPERLINK \l "_Toc235285724" </w:instrText>
          </w:r>
          <w:r>
            <w:fldChar w:fldCharType="separate"/>
          </w:r>
          <w:r>
            <w:rPr>
              <w:rStyle w:val="38"/>
            </w:rPr>
            <w:t>5.2 交易执行类</w:t>
          </w:r>
          <w:r>
            <w:tab/>
          </w:r>
          <w:r>
            <w:fldChar w:fldCharType="begin"/>
          </w:r>
          <w:r>
            <w:instrText xml:space="preserve"> PAGEREF _Toc235285724 \h </w:instrText>
          </w:r>
          <w:r>
            <w:fldChar w:fldCharType="separate"/>
          </w:r>
          <w:r>
            <w:t>20</w:t>
          </w:r>
          <w:r>
            <w:fldChar w:fldCharType="end"/>
          </w:r>
          <w:r>
            <w:fldChar w:fldCharType="end"/>
          </w:r>
        </w:p>
        <w:p w14:paraId="2DA0D28F">
          <w:pPr>
            <w:pStyle w:val="18"/>
            <w:rPr>
              <w:rFonts w:asciiTheme="minorHAnsi" w:hAnsiTheme="minorHAnsi" w:eastAsiaTheme="minorEastAsia"/>
              <w:sz w:val="22"/>
              <w:szCs w:val="24"/>
              <w14:ligatures w14:val="standardContextual"/>
            </w:rPr>
          </w:pPr>
          <w:r>
            <w:fldChar w:fldCharType="begin"/>
          </w:r>
          <w:r>
            <w:instrText xml:space="preserve"> HYPERLINK \l "_Toc235285725" </w:instrText>
          </w:r>
          <w:r>
            <w:fldChar w:fldCharType="separate"/>
          </w:r>
          <w:r>
            <w:rPr>
              <w:rStyle w:val="38"/>
            </w:rPr>
            <w:t>5.2.1 共识交互模块</w:t>
          </w:r>
          <w:r>
            <w:tab/>
          </w:r>
          <w:r>
            <w:fldChar w:fldCharType="begin"/>
          </w:r>
          <w:r>
            <w:instrText xml:space="preserve"> PAGEREF _Toc235285725 \h </w:instrText>
          </w:r>
          <w:r>
            <w:fldChar w:fldCharType="separate"/>
          </w:r>
          <w:r>
            <w:t>20</w:t>
          </w:r>
          <w:r>
            <w:fldChar w:fldCharType="end"/>
          </w:r>
          <w:r>
            <w:fldChar w:fldCharType="end"/>
          </w:r>
        </w:p>
        <w:p w14:paraId="0DBA8FC5">
          <w:pPr>
            <w:pStyle w:val="18"/>
            <w:rPr>
              <w:rFonts w:asciiTheme="minorHAnsi" w:hAnsiTheme="minorHAnsi" w:eastAsiaTheme="minorEastAsia"/>
              <w:sz w:val="22"/>
              <w:szCs w:val="24"/>
              <w14:ligatures w14:val="standardContextual"/>
            </w:rPr>
          </w:pPr>
          <w:r>
            <w:fldChar w:fldCharType="begin"/>
          </w:r>
          <w:r>
            <w:instrText xml:space="preserve"> HYPERLINK \l "_Toc235285726" </w:instrText>
          </w:r>
          <w:r>
            <w:fldChar w:fldCharType="separate"/>
          </w:r>
          <w:r>
            <w:rPr>
              <w:rStyle w:val="38"/>
            </w:rPr>
            <w:t>5.2.2 批次执行模块</w:t>
          </w:r>
          <w:r>
            <w:tab/>
          </w:r>
          <w:r>
            <w:fldChar w:fldCharType="begin"/>
          </w:r>
          <w:r>
            <w:instrText xml:space="preserve"> PAGEREF _Toc235285726 \h </w:instrText>
          </w:r>
          <w:r>
            <w:fldChar w:fldCharType="separate"/>
          </w:r>
          <w:r>
            <w:t>20</w:t>
          </w:r>
          <w:r>
            <w:fldChar w:fldCharType="end"/>
          </w:r>
          <w:r>
            <w:fldChar w:fldCharType="end"/>
          </w:r>
        </w:p>
        <w:p w14:paraId="492A278C">
          <w:pPr>
            <w:pStyle w:val="18"/>
            <w:rPr>
              <w:rFonts w:asciiTheme="minorHAnsi" w:hAnsiTheme="minorHAnsi" w:eastAsiaTheme="minorEastAsia"/>
              <w:sz w:val="22"/>
              <w:szCs w:val="24"/>
              <w14:ligatures w14:val="standardContextual"/>
            </w:rPr>
          </w:pPr>
          <w:r>
            <w:fldChar w:fldCharType="begin"/>
          </w:r>
          <w:r>
            <w:instrText xml:space="preserve"> HYPERLINK \l "_Toc235285727" </w:instrText>
          </w:r>
          <w:r>
            <w:fldChar w:fldCharType="separate"/>
          </w:r>
          <w:r>
            <w:rPr>
              <w:rStyle w:val="38"/>
            </w:rPr>
            <w:t>5.2.3 并发调度模块</w:t>
          </w:r>
          <w:r>
            <w:tab/>
          </w:r>
          <w:r>
            <w:fldChar w:fldCharType="begin"/>
          </w:r>
          <w:r>
            <w:instrText xml:space="preserve"> PAGEREF _Toc235285727 \h </w:instrText>
          </w:r>
          <w:r>
            <w:fldChar w:fldCharType="separate"/>
          </w:r>
          <w:r>
            <w:t>20</w:t>
          </w:r>
          <w:r>
            <w:fldChar w:fldCharType="end"/>
          </w:r>
          <w:r>
            <w:fldChar w:fldCharType="end"/>
          </w:r>
        </w:p>
        <w:p w14:paraId="713BFB6D">
          <w:pPr>
            <w:pStyle w:val="18"/>
            <w:rPr>
              <w:rFonts w:asciiTheme="minorHAnsi" w:hAnsiTheme="minorHAnsi" w:eastAsiaTheme="minorEastAsia"/>
              <w:sz w:val="22"/>
              <w:szCs w:val="24"/>
              <w14:ligatures w14:val="standardContextual"/>
            </w:rPr>
          </w:pPr>
          <w:r>
            <w:fldChar w:fldCharType="begin"/>
          </w:r>
          <w:r>
            <w:instrText xml:space="preserve"> HYPERLINK \l "_Toc235285728" </w:instrText>
          </w:r>
          <w:r>
            <w:fldChar w:fldCharType="separate"/>
          </w:r>
          <w:r>
            <w:rPr>
              <w:rStyle w:val="38"/>
            </w:rPr>
            <w:t>5.2.4 并行执行模块</w:t>
          </w:r>
          <w:r>
            <w:tab/>
          </w:r>
          <w:r>
            <w:fldChar w:fldCharType="begin"/>
          </w:r>
          <w:r>
            <w:instrText xml:space="preserve"> PAGEREF _Toc235285728 \h </w:instrText>
          </w:r>
          <w:r>
            <w:fldChar w:fldCharType="separate"/>
          </w:r>
          <w:r>
            <w:t>21</w:t>
          </w:r>
          <w:r>
            <w:fldChar w:fldCharType="end"/>
          </w:r>
          <w:r>
            <w:fldChar w:fldCharType="end"/>
          </w:r>
        </w:p>
        <w:p w14:paraId="25296F13">
          <w:pPr>
            <w:pStyle w:val="18"/>
            <w:rPr>
              <w:rFonts w:asciiTheme="minorHAnsi" w:hAnsiTheme="minorHAnsi" w:eastAsiaTheme="minorEastAsia"/>
              <w:sz w:val="22"/>
              <w:szCs w:val="24"/>
              <w14:ligatures w14:val="standardContextual"/>
            </w:rPr>
          </w:pPr>
          <w:r>
            <w:fldChar w:fldCharType="begin"/>
          </w:r>
          <w:r>
            <w:instrText xml:space="preserve"> HYPERLINK \l "_Toc235285729" </w:instrText>
          </w:r>
          <w:r>
            <w:fldChar w:fldCharType="separate"/>
          </w:r>
          <w:r>
            <w:rPr>
              <w:rStyle w:val="38"/>
            </w:rPr>
            <w:t>5.2.5 状态更新模块</w:t>
          </w:r>
          <w:r>
            <w:tab/>
          </w:r>
          <w:r>
            <w:fldChar w:fldCharType="begin"/>
          </w:r>
          <w:r>
            <w:instrText xml:space="preserve"> PAGEREF _Toc235285729 \h </w:instrText>
          </w:r>
          <w:r>
            <w:fldChar w:fldCharType="separate"/>
          </w:r>
          <w:r>
            <w:t>21</w:t>
          </w:r>
          <w:r>
            <w:fldChar w:fldCharType="end"/>
          </w:r>
          <w:r>
            <w:fldChar w:fldCharType="end"/>
          </w:r>
        </w:p>
        <w:p w14:paraId="4196E3B9">
          <w:pPr>
            <w:pStyle w:val="18"/>
            <w:rPr>
              <w:rFonts w:asciiTheme="minorHAnsi" w:hAnsiTheme="minorHAnsi" w:eastAsiaTheme="minorEastAsia"/>
              <w:sz w:val="22"/>
              <w:szCs w:val="24"/>
              <w14:ligatures w14:val="standardContextual"/>
            </w:rPr>
          </w:pPr>
          <w:r>
            <w:fldChar w:fldCharType="begin"/>
          </w:r>
          <w:r>
            <w:instrText xml:space="preserve"> HYPERLINK \l "_Toc235285730" </w:instrText>
          </w:r>
          <w:r>
            <w:fldChar w:fldCharType="separate"/>
          </w:r>
          <w:r>
            <w:rPr>
              <w:rStyle w:val="38"/>
            </w:rPr>
            <w:t>5.2.6 虚拟机管理模块</w:t>
          </w:r>
          <w:r>
            <w:tab/>
          </w:r>
          <w:r>
            <w:fldChar w:fldCharType="begin"/>
          </w:r>
          <w:r>
            <w:instrText xml:space="preserve"> PAGEREF _Toc235285730 \h </w:instrText>
          </w:r>
          <w:r>
            <w:fldChar w:fldCharType="separate"/>
          </w:r>
          <w:r>
            <w:t>21</w:t>
          </w:r>
          <w:r>
            <w:fldChar w:fldCharType="end"/>
          </w:r>
          <w:r>
            <w:fldChar w:fldCharType="end"/>
          </w:r>
        </w:p>
        <w:p w14:paraId="54AB1669">
          <w:pPr>
            <w:pStyle w:val="29"/>
            <w:rPr>
              <w:rFonts w:asciiTheme="minorHAnsi" w:hAnsiTheme="minorHAnsi" w:eastAsiaTheme="minorEastAsia"/>
              <w:sz w:val="22"/>
              <w:szCs w:val="24"/>
              <w14:ligatures w14:val="standardContextual"/>
            </w:rPr>
          </w:pPr>
          <w:r>
            <w:fldChar w:fldCharType="begin"/>
          </w:r>
          <w:r>
            <w:instrText xml:space="preserve"> HYPERLINK \l "_Toc235285731" </w:instrText>
          </w:r>
          <w:r>
            <w:fldChar w:fldCharType="separate"/>
          </w:r>
          <w:r>
            <w:rPr>
              <w:rStyle w:val="38"/>
            </w:rPr>
            <w:t>5.3 数据状态类</w:t>
          </w:r>
          <w:r>
            <w:tab/>
          </w:r>
          <w:r>
            <w:fldChar w:fldCharType="begin"/>
          </w:r>
          <w:r>
            <w:instrText xml:space="preserve"> PAGEREF _Toc235285731 \h </w:instrText>
          </w:r>
          <w:r>
            <w:fldChar w:fldCharType="separate"/>
          </w:r>
          <w:r>
            <w:t>22</w:t>
          </w:r>
          <w:r>
            <w:fldChar w:fldCharType="end"/>
          </w:r>
          <w:r>
            <w:fldChar w:fldCharType="end"/>
          </w:r>
        </w:p>
        <w:p w14:paraId="42878AB1">
          <w:pPr>
            <w:pStyle w:val="18"/>
            <w:rPr>
              <w:rFonts w:asciiTheme="minorHAnsi" w:hAnsiTheme="minorHAnsi" w:eastAsiaTheme="minorEastAsia"/>
              <w:sz w:val="22"/>
              <w:szCs w:val="24"/>
              <w14:ligatures w14:val="standardContextual"/>
            </w:rPr>
          </w:pPr>
          <w:r>
            <w:fldChar w:fldCharType="begin"/>
          </w:r>
          <w:r>
            <w:instrText xml:space="preserve"> HYPERLINK \l "_Toc235285732" </w:instrText>
          </w:r>
          <w:r>
            <w:fldChar w:fldCharType="separate"/>
          </w:r>
          <w:r>
            <w:rPr>
              <w:rStyle w:val="38"/>
            </w:rPr>
            <w:t>5.3.1 数据对象模块</w:t>
          </w:r>
          <w:r>
            <w:tab/>
          </w:r>
          <w:r>
            <w:fldChar w:fldCharType="begin"/>
          </w:r>
          <w:r>
            <w:instrText xml:space="preserve"> PAGEREF _Toc235285732 \h </w:instrText>
          </w:r>
          <w:r>
            <w:fldChar w:fldCharType="separate"/>
          </w:r>
          <w:r>
            <w:t>22</w:t>
          </w:r>
          <w:r>
            <w:fldChar w:fldCharType="end"/>
          </w:r>
          <w:r>
            <w:fldChar w:fldCharType="end"/>
          </w:r>
        </w:p>
        <w:p w14:paraId="64E08C41">
          <w:pPr>
            <w:pStyle w:val="18"/>
            <w:rPr>
              <w:rFonts w:asciiTheme="minorHAnsi" w:hAnsiTheme="minorHAnsi" w:eastAsiaTheme="minorEastAsia"/>
              <w:sz w:val="22"/>
              <w:szCs w:val="24"/>
              <w14:ligatures w14:val="standardContextual"/>
            </w:rPr>
          </w:pPr>
          <w:r>
            <w:fldChar w:fldCharType="begin"/>
          </w:r>
          <w:r>
            <w:instrText xml:space="preserve"> HYPERLINK \l "_Toc235285733" </w:instrText>
          </w:r>
          <w:r>
            <w:fldChar w:fldCharType="separate"/>
          </w:r>
          <w:r>
            <w:rPr>
              <w:rStyle w:val="38"/>
            </w:rPr>
            <w:t>5.3.2 状态存储模块（账户状态）</w:t>
          </w:r>
          <w:r>
            <w:tab/>
          </w:r>
          <w:r>
            <w:fldChar w:fldCharType="begin"/>
          </w:r>
          <w:r>
            <w:instrText xml:space="preserve"> PAGEREF _Toc235285733 \h </w:instrText>
          </w:r>
          <w:r>
            <w:fldChar w:fldCharType="separate"/>
          </w:r>
          <w:r>
            <w:t>22</w:t>
          </w:r>
          <w:r>
            <w:fldChar w:fldCharType="end"/>
          </w:r>
          <w:r>
            <w:fldChar w:fldCharType="end"/>
          </w:r>
        </w:p>
        <w:p w14:paraId="15717F4B">
          <w:pPr>
            <w:pStyle w:val="29"/>
            <w:rPr>
              <w:rFonts w:asciiTheme="minorHAnsi" w:hAnsiTheme="minorHAnsi" w:eastAsiaTheme="minorEastAsia"/>
              <w:sz w:val="22"/>
              <w:szCs w:val="24"/>
              <w14:ligatures w14:val="standardContextual"/>
            </w:rPr>
          </w:pPr>
          <w:r>
            <w:fldChar w:fldCharType="begin"/>
          </w:r>
          <w:r>
            <w:instrText xml:space="preserve"> HYPERLINK \l "_Toc235285734" </w:instrText>
          </w:r>
          <w:r>
            <w:fldChar w:fldCharType="separate"/>
          </w:r>
          <w:r>
            <w:rPr>
              <w:rStyle w:val="38"/>
            </w:rPr>
            <w:t>5.4 治理控制类</w:t>
          </w:r>
          <w:r>
            <w:tab/>
          </w:r>
          <w:r>
            <w:fldChar w:fldCharType="begin"/>
          </w:r>
          <w:r>
            <w:instrText xml:space="preserve"> PAGEREF _Toc235285734 \h </w:instrText>
          </w:r>
          <w:r>
            <w:fldChar w:fldCharType="separate"/>
          </w:r>
          <w:r>
            <w:t>23</w:t>
          </w:r>
          <w:r>
            <w:fldChar w:fldCharType="end"/>
          </w:r>
          <w:r>
            <w:fldChar w:fldCharType="end"/>
          </w:r>
        </w:p>
        <w:p w14:paraId="3E2D2661">
          <w:pPr>
            <w:pStyle w:val="18"/>
            <w:rPr>
              <w:rFonts w:asciiTheme="minorHAnsi" w:hAnsiTheme="minorHAnsi" w:eastAsiaTheme="minorEastAsia"/>
              <w:sz w:val="22"/>
              <w:szCs w:val="24"/>
              <w14:ligatures w14:val="standardContextual"/>
            </w:rPr>
          </w:pPr>
          <w:r>
            <w:fldChar w:fldCharType="begin"/>
          </w:r>
          <w:r>
            <w:instrText xml:space="preserve"> HYPERLINK \l "_Toc235285735" </w:instrText>
          </w:r>
          <w:r>
            <w:fldChar w:fldCharType="separate"/>
          </w:r>
          <w:r>
            <w:rPr>
              <w:rStyle w:val="38"/>
            </w:rPr>
            <w:t>5.4.1 治理参数模块</w:t>
          </w:r>
          <w:r>
            <w:tab/>
          </w:r>
          <w:r>
            <w:fldChar w:fldCharType="begin"/>
          </w:r>
          <w:r>
            <w:instrText xml:space="preserve"> PAGEREF _Toc235285735 \h </w:instrText>
          </w:r>
          <w:r>
            <w:fldChar w:fldCharType="separate"/>
          </w:r>
          <w:r>
            <w:t>23</w:t>
          </w:r>
          <w:r>
            <w:fldChar w:fldCharType="end"/>
          </w:r>
          <w:r>
            <w:fldChar w:fldCharType="end"/>
          </w:r>
        </w:p>
        <w:p w14:paraId="652631AD">
          <w:pPr>
            <w:pStyle w:val="18"/>
            <w:rPr>
              <w:rFonts w:asciiTheme="minorHAnsi" w:hAnsiTheme="minorHAnsi" w:eastAsiaTheme="minorEastAsia"/>
              <w:sz w:val="22"/>
              <w:szCs w:val="24"/>
              <w14:ligatures w14:val="standardContextual"/>
            </w:rPr>
          </w:pPr>
          <w:r>
            <w:fldChar w:fldCharType="begin"/>
          </w:r>
          <w:r>
            <w:instrText xml:space="preserve"> HYPERLINK \l "_Toc235285736" </w:instrText>
          </w:r>
          <w:r>
            <w:fldChar w:fldCharType="separate"/>
          </w:r>
          <w:r>
            <w:rPr>
              <w:rStyle w:val="38"/>
            </w:rPr>
            <w:t>5.4.2 系统升级模块</w:t>
          </w:r>
          <w:r>
            <w:tab/>
          </w:r>
          <w:r>
            <w:fldChar w:fldCharType="begin"/>
          </w:r>
          <w:r>
            <w:instrText xml:space="preserve"> PAGEREF _Toc235285736 \h </w:instrText>
          </w:r>
          <w:r>
            <w:fldChar w:fldCharType="separate"/>
          </w:r>
          <w:r>
            <w:t>23</w:t>
          </w:r>
          <w:r>
            <w:fldChar w:fldCharType="end"/>
          </w:r>
          <w:r>
            <w:fldChar w:fldCharType="end"/>
          </w:r>
        </w:p>
        <w:p w14:paraId="054C9CE8">
          <w:pPr>
            <w:pStyle w:val="18"/>
            <w:rPr>
              <w:rFonts w:asciiTheme="minorHAnsi" w:hAnsiTheme="minorHAnsi" w:eastAsiaTheme="minorEastAsia"/>
              <w:sz w:val="22"/>
              <w:szCs w:val="24"/>
              <w14:ligatures w14:val="standardContextual"/>
            </w:rPr>
          </w:pPr>
          <w:r>
            <w:fldChar w:fldCharType="begin"/>
          </w:r>
          <w:r>
            <w:instrText xml:space="preserve"> HYPERLINK \l "_Toc235285737" </w:instrText>
          </w:r>
          <w:r>
            <w:fldChar w:fldCharType="separate"/>
          </w:r>
          <w:r>
            <w:rPr>
              <w:rStyle w:val="38"/>
            </w:rPr>
            <w:t>5.4.3 安全审计模块</w:t>
          </w:r>
          <w:r>
            <w:tab/>
          </w:r>
          <w:r>
            <w:fldChar w:fldCharType="begin"/>
          </w:r>
          <w:r>
            <w:instrText xml:space="preserve"> PAGEREF _Toc235285737 \h </w:instrText>
          </w:r>
          <w:r>
            <w:fldChar w:fldCharType="separate"/>
          </w:r>
          <w:r>
            <w:t>23</w:t>
          </w:r>
          <w:r>
            <w:fldChar w:fldCharType="end"/>
          </w:r>
          <w:r>
            <w:fldChar w:fldCharType="end"/>
          </w:r>
        </w:p>
        <w:p w14:paraId="672C28B3">
          <w:pPr>
            <w:pStyle w:val="29"/>
            <w:rPr>
              <w:rFonts w:asciiTheme="minorHAnsi" w:hAnsiTheme="minorHAnsi" w:eastAsiaTheme="minorEastAsia"/>
              <w:sz w:val="22"/>
              <w:szCs w:val="24"/>
              <w14:ligatures w14:val="standardContextual"/>
            </w:rPr>
          </w:pPr>
          <w:r>
            <w:fldChar w:fldCharType="begin"/>
          </w:r>
          <w:r>
            <w:instrText xml:space="preserve"> HYPERLINK \l "_Toc235285738" </w:instrText>
          </w:r>
          <w:r>
            <w:fldChar w:fldCharType="separate"/>
          </w:r>
          <w:r>
            <w:rPr>
              <w:rStyle w:val="38"/>
            </w:rPr>
            <w:t>5.5 经济结算类</w:t>
          </w:r>
          <w:r>
            <w:tab/>
          </w:r>
          <w:r>
            <w:fldChar w:fldCharType="begin"/>
          </w:r>
          <w:r>
            <w:instrText xml:space="preserve"> PAGEREF _Toc235285738 \h </w:instrText>
          </w:r>
          <w:r>
            <w:fldChar w:fldCharType="separate"/>
          </w:r>
          <w:r>
            <w:t>24</w:t>
          </w:r>
          <w:r>
            <w:fldChar w:fldCharType="end"/>
          </w:r>
          <w:r>
            <w:fldChar w:fldCharType="end"/>
          </w:r>
        </w:p>
        <w:p w14:paraId="2422529D">
          <w:pPr>
            <w:pStyle w:val="18"/>
            <w:rPr>
              <w:rFonts w:asciiTheme="minorHAnsi" w:hAnsiTheme="minorHAnsi" w:eastAsiaTheme="minorEastAsia"/>
              <w:sz w:val="22"/>
              <w:szCs w:val="24"/>
              <w14:ligatures w14:val="standardContextual"/>
            </w:rPr>
          </w:pPr>
          <w:r>
            <w:fldChar w:fldCharType="begin"/>
          </w:r>
          <w:r>
            <w:instrText xml:space="preserve"> HYPERLINK \l "_Toc235285739" </w:instrText>
          </w:r>
          <w:r>
            <w:fldChar w:fldCharType="separate"/>
          </w:r>
          <w:r>
            <w:rPr>
              <w:rStyle w:val="38"/>
            </w:rPr>
            <w:t>5.5.1 经济激励模块</w:t>
          </w:r>
          <w:r>
            <w:tab/>
          </w:r>
          <w:r>
            <w:fldChar w:fldCharType="begin"/>
          </w:r>
          <w:r>
            <w:instrText xml:space="preserve"> PAGEREF _Toc235285739 \h </w:instrText>
          </w:r>
          <w:r>
            <w:fldChar w:fldCharType="separate"/>
          </w:r>
          <w:r>
            <w:t>24</w:t>
          </w:r>
          <w:r>
            <w:fldChar w:fldCharType="end"/>
          </w:r>
          <w:r>
            <w:fldChar w:fldCharType="end"/>
          </w:r>
        </w:p>
        <w:p w14:paraId="53C826FA">
          <w:pPr>
            <w:pStyle w:val="18"/>
            <w:rPr>
              <w:rFonts w:asciiTheme="minorHAnsi" w:hAnsiTheme="minorHAnsi" w:eastAsiaTheme="minorEastAsia"/>
              <w:sz w:val="22"/>
              <w:szCs w:val="24"/>
              <w14:ligatures w14:val="standardContextual"/>
            </w:rPr>
          </w:pPr>
          <w:r>
            <w:fldChar w:fldCharType="begin"/>
          </w:r>
          <w:r>
            <w:instrText xml:space="preserve"> HYPERLINK \l "_Toc235285740" </w:instrText>
          </w:r>
          <w:r>
            <w:fldChar w:fldCharType="separate"/>
          </w:r>
          <w:r>
            <w:rPr>
              <w:rStyle w:val="38"/>
            </w:rPr>
            <w:t>5.5.2 成本调节模块（Gas支付）</w:t>
          </w:r>
          <w:r>
            <w:tab/>
          </w:r>
          <w:r>
            <w:fldChar w:fldCharType="begin"/>
          </w:r>
          <w:r>
            <w:instrText xml:space="preserve"> PAGEREF _Toc235285740 \h </w:instrText>
          </w:r>
          <w:r>
            <w:fldChar w:fldCharType="separate"/>
          </w:r>
          <w:r>
            <w:t>24</w:t>
          </w:r>
          <w:r>
            <w:fldChar w:fldCharType="end"/>
          </w:r>
          <w:r>
            <w:fldChar w:fldCharType="end"/>
          </w:r>
        </w:p>
        <w:p w14:paraId="408C2BC6">
          <w:pPr>
            <w:pStyle w:val="18"/>
            <w:rPr>
              <w:rFonts w:asciiTheme="minorHAnsi" w:hAnsiTheme="minorHAnsi" w:eastAsiaTheme="minorEastAsia"/>
              <w:sz w:val="22"/>
              <w:szCs w:val="24"/>
              <w14:ligatures w14:val="standardContextual"/>
            </w:rPr>
          </w:pPr>
          <w:r>
            <w:fldChar w:fldCharType="begin"/>
          </w:r>
          <w:r>
            <w:instrText xml:space="preserve"> HYPERLINK \l "_Toc235285741" </w:instrText>
          </w:r>
          <w:r>
            <w:fldChar w:fldCharType="separate"/>
          </w:r>
          <w:r>
            <w:rPr>
              <w:rStyle w:val="38"/>
            </w:rPr>
            <w:t>5.5.3 合约质押模块</w:t>
          </w:r>
          <w:r>
            <w:tab/>
          </w:r>
          <w:r>
            <w:fldChar w:fldCharType="begin"/>
          </w:r>
          <w:r>
            <w:instrText xml:space="preserve"> PAGEREF _Toc235285741 \h </w:instrText>
          </w:r>
          <w:r>
            <w:fldChar w:fldCharType="separate"/>
          </w:r>
          <w:r>
            <w:t>25</w:t>
          </w:r>
          <w:r>
            <w:fldChar w:fldCharType="end"/>
          </w:r>
          <w:r>
            <w:fldChar w:fldCharType="end"/>
          </w:r>
        </w:p>
        <w:p w14:paraId="5C78146F">
          <w:pPr>
            <w:pStyle w:val="29"/>
            <w:rPr>
              <w:rFonts w:asciiTheme="minorHAnsi" w:hAnsiTheme="minorHAnsi" w:eastAsiaTheme="minorEastAsia"/>
              <w:sz w:val="22"/>
              <w:szCs w:val="24"/>
              <w14:ligatures w14:val="standardContextual"/>
            </w:rPr>
          </w:pPr>
          <w:r>
            <w:fldChar w:fldCharType="begin"/>
          </w:r>
          <w:r>
            <w:instrText xml:space="preserve"> HYPERLINK \l "_Toc235285742" </w:instrText>
          </w:r>
          <w:r>
            <w:fldChar w:fldCharType="separate"/>
          </w:r>
          <w:r>
            <w:rPr>
              <w:rStyle w:val="38"/>
            </w:rPr>
            <w:t>5.6 跨域协同类</w:t>
          </w:r>
          <w:r>
            <w:tab/>
          </w:r>
          <w:r>
            <w:fldChar w:fldCharType="begin"/>
          </w:r>
          <w:r>
            <w:instrText xml:space="preserve"> PAGEREF _Toc235285742 \h </w:instrText>
          </w:r>
          <w:r>
            <w:fldChar w:fldCharType="separate"/>
          </w:r>
          <w:r>
            <w:t>25</w:t>
          </w:r>
          <w:r>
            <w:fldChar w:fldCharType="end"/>
          </w:r>
          <w:r>
            <w:fldChar w:fldCharType="end"/>
          </w:r>
        </w:p>
        <w:p w14:paraId="05B4C76F">
          <w:pPr>
            <w:pStyle w:val="18"/>
            <w:rPr>
              <w:rFonts w:asciiTheme="minorHAnsi" w:hAnsiTheme="minorHAnsi" w:eastAsiaTheme="minorEastAsia"/>
              <w:sz w:val="22"/>
              <w:szCs w:val="24"/>
              <w14:ligatures w14:val="standardContextual"/>
            </w:rPr>
          </w:pPr>
          <w:r>
            <w:fldChar w:fldCharType="begin"/>
          </w:r>
          <w:r>
            <w:instrText xml:space="preserve"> HYPERLINK \l "_Toc235285743" </w:instrText>
          </w:r>
          <w:r>
            <w:fldChar w:fldCharType="separate"/>
          </w:r>
          <w:r>
            <w:rPr>
              <w:rStyle w:val="38"/>
            </w:rPr>
            <w:t>5.6.1 跨区协同模块</w:t>
          </w:r>
          <w:r>
            <w:tab/>
          </w:r>
          <w:r>
            <w:fldChar w:fldCharType="begin"/>
          </w:r>
          <w:r>
            <w:instrText xml:space="preserve"> PAGEREF _Toc235285743 \h </w:instrText>
          </w:r>
          <w:r>
            <w:fldChar w:fldCharType="separate"/>
          </w:r>
          <w:r>
            <w:t>25</w:t>
          </w:r>
          <w:r>
            <w:fldChar w:fldCharType="end"/>
          </w:r>
          <w:r>
            <w:fldChar w:fldCharType="end"/>
          </w:r>
        </w:p>
        <w:p w14:paraId="0353B064">
          <w:pPr>
            <w:pStyle w:val="18"/>
            <w:rPr>
              <w:rFonts w:asciiTheme="minorHAnsi" w:hAnsiTheme="minorHAnsi" w:eastAsiaTheme="minorEastAsia"/>
              <w:sz w:val="22"/>
              <w:szCs w:val="24"/>
              <w14:ligatures w14:val="standardContextual"/>
            </w:rPr>
          </w:pPr>
          <w:r>
            <w:fldChar w:fldCharType="begin"/>
          </w:r>
          <w:r>
            <w:instrText xml:space="preserve"> HYPERLINK \l "_Toc235285744" </w:instrText>
          </w:r>
          <w:r>
            <w:fldChar w:fldCharType="separate"/>
          </w:r>
          <w:r>
            <w:rPr>
              <w:rStyle w:val="38"/>
            </w:rPr>
            <w:t>5.6.2 跨链协同模块</w:t>
          </w:r>
          <w:r>
            <w:tab/>
          </w:r>
          <w:r>
            <w:fldChar w:fldCharType="begin"/>
          </w:r>
          <w:r>
            <w:instrText xml:space="preserve"> PAGEREF _Toc235285744 \h </w:instrText>
          </w:r>
          <w:r>
            <w:fldChar w:fldCharType="separate"/>
          </w:r>
          <w:r>
            <w:t>25</w:t>
          </w:r>
          <w:r>
            <w:fldChar w:fldCharType="end"/>
          </w:r>
          <w:r>
            <w:fldChar w:fldCharType="end"/>
          </w:r>
        </w:p>
        <w:p w14:paraId="3CA28F3F">
          <w:pPr>
            <w:pStyle w:val="29"/>
            <w:rPr>
              <w:rFonts w:asciiTheme="minorHAnsi" w:hAnsiTheme="minorHAnsi" w:eastAsiaTheme="minorEastAsia"/>
              <w:sz w:val="22"/>
              <w:szCs w:val="24"/>
              <w14:ligatures w14:val="standardContextual"/>
            </w:rPr>
          </w:pPr>
          <w:r>
            <w:fldChar w:fldCharType="begin"/>
          </w:r>
          <w:r>
            <w:instrText xml:space="preserve"> HYPERLINK \l "_Toc235285745" </w:instrText>
          </w:r>
          <w:r>
            <w:fldChar w:fldCharType="separate"/>
          </w:r>
          <w:r>
            <w:rPr>
              <w:rStyle w:val="38"/>
            </w:rPr>
            <w:t>5.7 安全算法类</w:t>
          </w:r>
          <w:r>
            <w:tab/>
          </w:r>
          <w:r>
            <w:fldChar w:fldCharType="begin"/>
          </w:r>
          <w:r>
            <w:instrText xml:space="preserve"> PAGEREF _Toc235285745 \h </w:instrText>
          </w:r>
          <w:r>
            <w:fldChar w:fldCharType="separate"/>
          </w:r>
          <w:r>
            <w:t>26</w:t>
          </w:r>
          <w:r>
            <w:fldChar w:fldCharType="end"/>
          </w:r>
          <w:r>
            <w:fldChar w:fldCharType="end"/>
          </w:r>
        </w:p>
        <w:p w14:paraId="435E3017">
          <w:pPr>
            <w:pStyle w:val="18"/>
            <w:rPr>
              <w:rFonts w:asciiTheme="minorHAnsi" w:hAnsiTheme="minorHAnsi" w:eastAsiaTheme="minorEastAsia"/>
              <w:sz w:val="22"/>
              <w:szCs w:val="24"/>
              <w14:ligatures w14:val="standardContextual"/>
            </w:rPr>
          </w:pPr>
          <w:r>
            <w:fldChar w:fldCharType="begin"/>
          </w:r>
          <w:r>
            <w:instrText xml:space="preserve"> HYPERLINK \l "_Toc235285746" </w:instrText>
          </w:r>
          <w:r>
            <w:fldChar w:fldCharType="separate"/>
          </w:r>
          <w:r>
            <w:rPr>
              <w:rStyle w:val="38"/>
            </w:rPr>
            <w:t>5.7.1 密码安全模块</w:t>
          </w:r>
          <w:r>
            <w:tab/>
          </w:r>
          <w:r>
            <w:fldChar w:fldCharType="begin"/>
          </w:r>
          <w:r>
            <w:instrText xml:space="preserve"> PAGEREF _Toc235285746 \h </w:instrText>
          </w:r>
          <w:r>
            <w:fldChar w:fldCharType="separate"/>
          </w:r>
          <w:r>
            <w:t>26</w:t>
          </w:r>
          <w:r>
            <w:fldChar w:fldCharType="end"/>
          </w:r>
          <w:r>
            <w:fldChar w:fldCharType="end"/>
          </w:r>
        </w:p>
        <w:p w14:paraId="0F67C8C9">
          <w:pPr>
            <w:pStyle w:val="18"/>
            <w:rPr>
              <w:rFonts w:asciiTheme="minorHAnsi" w:hAnsiTheme="minorHAnsi" w:eastAsiaTheme="minorEastAsia"/>
              <w:sz w:val="22"/>
              <w:szCs w:val="24"/>
              <w14:ligatures w14:val="standardContextual"/>
            </w:rPr>
          </w:pPr>
          <w:r>
            <w:fldChar w:fldCharType="begin"/>
          </w:r>
          <w:r>
            <w:instrText xml:space="preserve"> HYPERLINK \l "_Toc235285747" </w:instrText>
          </w:r>
          <w:r>
            <w:fldChar w:fldCharType="separate"/>
          </w:r>
          <w:r>
            <w:rPr>
              <w:rStyle w:val="38"/>
            </w:rPr>
            <w:t>5.7.2 算法升级模块（密码协处理器）</w:t>
          </w:r>
          <w:r>
            <w:tab/>
          </w:r>
          <w:r>
            <w:fldChar w:fldCharType="begin"/>
          </w:r>
          <w:r>
            <w:instrText xml:space="preserve"> PAGEREF _Toc235285747 \h </w:instrText>
          </w:r>
          <w:r>
            <w:fldChar w:fldCharType="separate"/>
          </w:r>
          <w:r>
            <w:t>26</w:t>
          </w:r>
          <w:r>
            <w:fldChar w:fldCharType="end"/>
          </w:r>
          <w:r>
            <w:fldChar w:fldCharType="end"/>
          </w:r>
        </w:p>
        <w:p w14:paraId="1B8E861D">
          <w:pPr>
            <w:pStyle w:val="29"/>
            <w:rPr>
              <w:rFonts w:asciiTheme="minorHAnsi" w:hAnsiTheme="minorHAnsi" w:eastAsiaTheme="minorEastAsia"/>
              <w:sz w:val="22"/>
              <w:szCs w:val="24"/>
              <w14:ligatures w14:val="standardContextual"/>
            </w:rPr>
          </w:pPr>
          <w:r>
            <w:fldChar w:fldCharType="begin"/>
          </w:r>
          <w:r>
            <w:instrText xml:space="preserve"> HYPERLINK \l "_Toc235285748" </w:instrText>
          </w:r>
          <w:r>
            <w:fldChar w:fldCharType="separate"/>
          </w:r>
          <w:r>
            <w:rPr>
              <w:rStyle w:val="38"/>
            </w:rPr>
            <w:t>5.8 链下服务类</w:t>
          </w:r>
          <w:r>
            <w:tab/>
          </w:r>
          <w:r>
            <w:fldChar w:fldCharType="begin"/>
          </w:r>
          <w:r>
            <w:instrText xml:space="preserve"> PAGEREF _Toc235285748 \h </w:instrText>
          </w:r>
          <w:r>
            <w:fldChar w:fldCharType="separate"/>
          </w:r>
          <w:r>
            <w:t>26</w:t>
          </w:r>
          <w:r>
            <w:fldChar w:fldCharType="end"/>
          </w:r>
          <w:r>
            <w:fldChar w:fldCharType="end"/>
          </w:r>
        </w:p>
        <w:p w14:paraId="45BBB7C3">
          <w:pPr>
            <w:pStyle w:val="18"/>
            <w:rPr>
              <w:rFonts w:asciiTheme="minorHAnsi" w:hAnsiTheme="minorHAnsi" w:eastAsiaTheme="minorEastAsia"/>
              <w:sz w:val="22"/>
              <w:szCs w:val="24"/>
              <w14:ligatures w14:val="standardContextual"/>
            </w:rPr>
          </w:pPr>
          <w:r>
            <w:fldChar w:fldCharType="begin"/>
          </w:r>
          <w:r>
            <w:instrText xml:space="preserve"> HYPERLINK \l "_Toc235285749" </w:instrText>
          </w:r>
          <w:r>
            <w:fldChar w:fldCharType="separate"/>
          </w:r>
          <w:r>
            <w:rPr>
              <w:rStyle w:val="38"/>
            </w:rPr>
            <w:t>5.8.1 链下计算模块</w:t>
          </w:r>
          <w:r>
            <w:tab/>
          </w:r>
          <w:r>
            <w:fldChar w:fldCharType="begin"/>
          </w:r>
          <w:r>
            <w:instrText xml:space="preserve"> PAGEREF _Toc235285749 \h </w:instrText>
          </w:r>
          <w:r>
            <w:fldChar w:fldCharType="separate"/>
          </w:r>
          <w:r>
            <w:t>27</w:t>
          </w:r>
          <w:r>
            <w:fldChar w:fldCharType="end"/>
          </w:r>
          <w:r>
            <w:fldChar w:fldCharType="end"/>
          </w:r>
        </w:p>
        <w:p w14:paraId="4D859AA4">
          <w:pPr>
            <w:pStyle w:val="18"/>
            <w:rPr>
              <w:rFonts w:asciiTheme="minorHAnsi" w:hAnsiTheme="minorHAnsi" w:eastAsiaTheme="minorEastAsia"/>
              <w:sz w:val="22"/>
              <w:szCs w:val="24"/>
              <w14:ligatures w14:val="standardContextual"/>
            </w:rPr>
          </w:pPr>
          <w:r>
            <w:fldChar w:fldCharType="begin"/>
          </w:r>
          <w:r>
            <w:instrText xml:space="preserve"> HYPERLINK \l "_Toc235285750" </w:instrText>
          </w:r>
          <w:r>
            <w:fldChar w:fldCharType="separate"/>
          </w:r>
          <w:r>
            <w:rPr>
              <w:rStyle w:val="38"/>
            </w:rPr>
            <w:t>5.8.2 运行监控模块</w:t>
          </w:r>
          <w:r>
            <w:tab/>
          </w:r>
          <w:r>
            <w:fldChar w:fldCharType="begin"/>
          </w:r>
          <w:r>
            <w:instrText xml:space="preserve"> PAGEREF _Toc235285750 \h </w:instrText>
          </w:r>
          <w:r>
            <w:fldChar w:fldCharType="separate"/>
          </w:r>
          <w:r>
            <w:t>27</w:t>
          </w:r>
          <w:r>
            <w:fldChar w:fldCharType="end"/>
          </w:r>
          <w:r>
            <w:fldChar w:fldCharType="end"/>
          </w:r>
        </w:p>
        <w:p w14:paraId="198A6783">
          <w:pPr>
            <w:pStyle w:val="18"/>
            <w:rPr>
              <w:rFonts w:asciiTheme="minorHAnsi" w:hAnsiTheme="minorHAnsi" w:eastAsiaTheme="minorEastAsia"/>
              <w:sz w:val="22"/>
              <w:szCs w:val="24"/>
              <w14:ligatures w14:val="standardContextual"/>
            </w:rPr>
          </w:pPr>
          <w:r>
            <w:fldChar w:fldCharType="begin"/>
          </w:r>
          <w:r>
            <w:instrText xml:space="preserve"> HYPERLINK \l "_Toc235285751" </w:instrText>
          </w:r>
          <w:r>
            <w:fldChar w:fldCharType="separate"/>
          </w:r>
          <w:r>
            <w:rPr>
              <w:rStyle w:val="38"/>
            </w:rPr>
            <w:t>5.8.3 对外查询模块（主要是RPC扩展）</w:t>
          </w:r>
          <w:r>
            <w:tab/>
          </w:r>
          <w:r>
            <w:fldChar w:fldCharType="begin"/>
          </w:r>
          <w:r>
            <w:instrText xml:space="preserve"> PAGEREF _Toc235285751 \h </w:instrText>
          </w:r>
          <w:r>
            <w:fldChar w:fldCharType="separate"/>
          </w:r>
          <w:r>
            <w:t>27</w:t>
          </w:r>
          <w:r>
            <w:fldChar w:fldCharType="end"/>
          </w:r>
          <w:r>
            <w:fldChar w:fldCharType="end"/>
          </w:r>
        </w:p>
        <w:p w14:paraId="6DB1CF93">
          <w:pPr>
            <w:pStyle w:val="24"/>
            <w:rPr>
              <w:rFonts w:asciiTheme="minorHAnsi" w:hAnsiTheme="minorHAnsi" w:eastAsiaTheme="minorEastAsia"/>
              <w:b w:val="0"/>
              <w:sz w:val="22"/>
              <w:szCs w:val="24"/>
              <w14:ligatures w14:val="standardContextual"/>
            </w:rPr>
          </w:pPr>
          <w:r>
            <w:fldChar w:fldCharType="begin"/>
          </w:r>
          <w:r>
            <w:instrText xml:space="preserve"> HYPERLINK \l "_Toc235285752" </w:instrText>
          </w:r>
          <w:r>
            <w:fldChar w:fldCharType="separate"/>
          </w:r>
          <w:r>
            <w:rPr>
              <w:rStyle w:val="38"/>
            </w:rPr>
            <w:t>6. 关键机制流程</w:t>
          </w:r>
          <w:r>
            <w:tab/>
          </w:r>
          <w:r>
            <w:fldChar w:fldCharType="begin"/>
          </w:r>
          <w:r>
            <w:instrText xml:space="preserve"> PAGEREF _Toc235285752 \h </w:instrText>
          </w:r>
          <w:r>
            <w:fldChar w:fldCharType="separate"/>
          </w:r>
          <w:r>
            <w:t>27</w:t>
          </w:r>
          <w:r>
            <w:fldChar w:fldCharType="end"/>
          </w:r>
          <w:r>
            <w:fldChar w:fldCharType="end"/>
          </w:r>
        </w:p>
        <w:p w14:paraId="59752313">
          <w:pPr>
            <w:pStyle w:val="29"/>
            <w:rPr>
              <w:rFonts w:asciiTheme="minorHAnsi" w:hAnsiTheme="minorHAnsi" w:eastAsiaTheme="minorEastAsia"/>
              <w:sz w:val="22"/>
              <w:szCs w:val="24"/>
              <w14:ligatures w14:val="standardContextual"/>
            </w:rPr>
          </w:pPr>
          <w:r>
            <w:fldChar w:fldCharType="begin"/>
          </w:r>
          <w:r>
            <w:instrText xml:space="preserve"> HYPERLINK \l "_Toc235285753" </w:instrText>
          </w:r>
          <w:r>
            <w:fldChar w:fldCharType="separate"/>
          </w:r>
          <w:r>
            <w:rPr>
              <w:rStyle w:val="38"/>
            </w:rPr>
            <w:t>6.1 普通交易执行流程</w:t>
          </w:r>
          <w:r>
            <w:tab/>
          </w:r>
          <w:r>
            <w:fldChar w:fldCharType="begin"/>
          </w:r>
          <w:r>
            <w:instrText xml:space="preserve"> PAGEREF _Toc235285753 \h </w:instrText>
          </w:r>
          <w:r>
            <w:fldChar w:fldCharType="separate"/>
          </w:r>
          <w:r>
            <w:t>27</w:t>
          </w:r>
          <w:r>
            <w:fldChar w:fldCharType="end"/>
          </w:r>
          <w:r>
            <w:fldChar w:fldCharType="end"/>
          </w:r>
        </w:p>
        <w:p w14:paraId="7DCF86A9">
          <w:pPr>
            <w:pStyle w:val="29"/>
            <w:rPr>
              <w:rFonts w:asciiTheme="minorHAnsi" w:hAnsiTheme="minorHAnsi" w:eastAsiaTheme="minorEastAsia"/>
              <w:sz w:val="22"/>
              <w:szCs w:val="24"/>
              <w14:ligatures w14:val="standardContextual"/>
            </w:rPr>
          </w:pPr>
          <w:r>
            <w:fldChar w:fldCharType="begin"/>
          </w:r>
          <w:r>
            <w:instrText xml:space="preserve"> HYPERLINK \l "_Toc235285754" </w:instrText>
          </w:r>
          <w:r>
            <w:fldChar w:fldCharType="separate"/>
          </w:r>
          <w:r>
            <w:rPr>
              <w:rStyle w:val="38"/>
            </w:rPr>
            <w:t>6.2 跨区转账流程</w:t>
          </w:r>
          <w:r>
            <w:tab/>
          </w:r>
          <w:r>
            <w:fldChar w:fldCharType="begin"/>
          </w:r>
          <w:r>
            <w:instrText xml:space="preserve"> PAGEREF _Toc235285754 \h </w:instrText>
          </w:r>
          <w:r>
            <w:fldChar w:fldCharType="separate"/>
          </w:r>
          <w:r>
            <w:t>28</w:t>
          </w:r>
          <w:r>
            <w:fldChar w:fldCharType="end"/>
          </w:r>
          <w:r>
            <w:fldChar w:fldCharType="end"/>
          </w:r>
        </w:p>
        <w:p w14:paraId="1D6DFDC7">
          <w:pPr>
            <w:pStyle w:val="29"/>
            <w:rPr>
              <w:rFonts w:asciiTheme="minorHAnsi" w:hAnsiTheme="minorHAnsi" w:eastAsiaTheme="minorEastAsia"/>
              <w:sz w:val="22"/>
              <w:szCs w:val="24"/>
              <w14:ligatures w14:val="standardContextual"/>
            </w:rPr>
          </w:pPr>
          <w:r>
            <w:fldChar w:fldCharType="begin"/>
          </w:r>
          <w:r>
            <w:instrText xml:space="preserve"> HYPERLINK \l "_Toc235285755" </w:instrText>
          </w:r>
          <w:r>
            <w:fldChar w:fldCharType="separate"/>
          </w:r>
          <w:r>
            <w:rPr>
              <w:rStyle w:val="38"/>
            </w:rPr>
            <w:t>6.3</w:t>
          </w:r>
          <w:r>
            <w:rPr>
              <w:rStyle w:val="38"/>
              <w:rFonts w:ascii="Cambria" w:hAnsi="Cambria" w:cs="Cambria"/>
            </w:rPr>
            <w:t xml:space="preserve"> 运行参数升级</w:t>
          </w:r>
          <w:r>
            <w:rPr>
              <w:rStyle w:val="38"/>
            </w:rPr>
            <w:t>流程</w:t>
          </w:r>
          <w:r>
            <w:tab/>
          </w:r>
          <w:r>
            <w:fldChar w:fldCharType="begin"/>
          </w:r>
          <w:r>
            <w:instrText xml:space="preserve"> PAGEREF _Toc235285755 \h </w:instrText>
          </w:r>
          <w:r>
            <w:fldChar w:fldCharType="separate"/>
          </w:r>
          <w:r>
            <w:t>28</w:t>
          </w:r>
          <w:r>
            <w:fldChar w:fldCharType="end"/>
          </w:r>
          <w:r>
            <w:fldChar w:fldCharType="end"/>
          </w:r>
        </w:p>
        <w:p w14:paraId="1FAD82DA">
          <w:pPr>
            <w:pStyle w:val="29"/>
            <w:rPr>
              <w:rFonts w:asciiTheme="minorHAnsi" w:hAnsiTheme="minorHAnsi" w:eastAsiaTheme="minorEastAsia"/>
              <w:sz w:val="22"/>
              <w:szCs w:val="24"/>
              <w14:ligatures w14:val="standardContextual"/>
            </w:rPr>
          </w:pPr>
          <w:r>
            <w:fldChar w:fldCharType="begin"/>
          </w:r>
          <w:r>
            <w:instrText xml:space="preserve"> HYPERLINK \l "_Toc235285756" </w:instrText>
          </w:r>
          <w:r>
            <w:fldChar w:fldCharType="separate"/>
          </w:r>
          <w:r>
            <w:rPr>
              <w:rStyle w:val="38"/>
            </w:rPr>
            <w:t>6.4 密码算法升级流程</w:t>
          </w:r>
          <w:r>
            <w:tab/>
          </w:r>
          <w:r>
            <w:fldChar w:fldCharType="begin"/>
          </w:r>
          <w:r>
            <w:instrText xml:space="preserve"> PAGEREF _Toc235285756 \h </w:instrText>
          </w:r>
          <w:r>
            <w:fldChar w:fldCharType="separate"/>
          </w:r>
          <w:r>
            <w:t>29</w:t>
          </w:r>
          <w:r>
            <w:fldChar w:fldCharType="end"/>
          </w:r>
          <w:r>
            <w:fldChar w:fldCharType="end"/>
          </w:r>
        </w:p>
        <w:p w14:paraId="5E81AA94">
          <w:pPr>
            <w:pStyle w:val="29"/>
            <w:rPr>
              <w:rFonts w:asciiTheme="minorHAnsi" w:hAnsiTheme="minorHAnsi" w:eastAsiaTheme="minorEastAsia"/>
              <w:sz w:val="22"/>
              <w:szCs w:val="24"/>
              <w14:ligatures w14:val="standardContextual"/>
            </w:rPr>
          </w:pPr>
          <w:r>
            <w:fldChar w:fldCharType="begin"/>
          </w:r>
          <w:r>
            <w:instrText xml:space="preserve"> HYPERLINK \l "_Toc235285757" </w:instrText>
          </w:r>
          <w:r>
            <w:fldChar w:fldCharType="separate"/>
          </w:r>
          <w:r>
            <w:rPr>
              <w:rStyle w:val="38"/>
            </w:rPr>
            <w:t>6.5 合约质押与运维结算流程</w:t>
          </w:r>
          <w:r>
            <w:tab/>
          </w:r>
          <w:r>
            <w:fldChar w:fldCharType="begin"/>
          </w:r>
          <w:r>
            <w:instrText xml:space="preserve"> PAGEREF _Toc235285757 \h </w:instrText>
          </w:r>
          <w:r>
            <w:fldChar w:fldCharType="separate"/>
          </w:r>
          <w:r>
            <w:t>29</w:t>
          </w:r>
          <w:r>
            <w:fldChar w:fldCharType="end"/>
          </w:r>
          <w:r>
            <w:fldChar w:fldCharType="end"/>
          </w:r>
        </w:p>
        <w:p w14:paraId="2F79D140">
          <w:pPr>
            <w:pStyle w:val="29"/>
            <w:rPr>
              <w:rFonts w:asciiTheme="minorHAnsi" w:hAnsiTheme="minorHAnsi" w:eastAsiaTheme="minorEastAsia"/>
              <w:sz w:val="22"/>
              <w:szCs w:val="24"/>
              <w14:ligatures w14:val="standardContextual"/>
            </w:rPr>
          </w:pPr>
          <w:r>
            <w:fldChar w:fldCharType="begin"/>
          </w:r>
          <w:r>
            <w:instrText xml:space="preserve"> HYPERLINK \l "_Toc235285758" </w:instrText>
          </w:r>
          <w:r>
            <w:fldChar w:fldCharType="separate"/>
          </w:r>
          <w:r>
            <w:rPr>
              <w:rStyle w:val="38"/>
            </w:rPr>
            <w:t>6.6 系统奖励结算流程</w:t>
          </w:r>
          <w:r>
            <w:tab/>
          </w:r>
          <w:r>
            <w:fldChar w:fldCharType="begin"/>
          </w:r>
          <w:r>
            <w:instrText xml:space="preserve"> PAGEREF _Toc235285758 \h </w:instrText>
          </w:r>
          <w:r>
            <w:fldChar w:fldCharType="separate"/>
          </w:r>
          <w:r>
            <w:t>29</w:t>
          </w:r>
          <w:r>
            <w:fldChar w:fldCharType="end"/>
          </w:r>
          <w:r>
            <w:fldChar w:fldCharType="end"/>
          </w:r>
        </w:p>
        <w:p w14:paraId="64C128C4">
          <w:pPr>
            <w:widowControl/>
            <w:spacing w:line="240" w:lineRule="auto"/>
            <w:ind w:firstLine="0" w:firstLineChars="0"/>
            <w:jc w:val="left"/>
          </w:pPr>
          <w:r>
            <w:rPr>
              <w:rFonts w:hint="eastAsia"/>
            </w:rPr>
            <w:fldChar w:fldCharType="end"/>
          </w:r>
        </w:p>
      </w:sdtContent>
    </w:sdt>
    <w:p w14:paraId="6145DB31">
      <w:pPr>
        <w:pStyle w:val="2"/>
        <w:numPr>
          <w:ilvl w:val="0"/>
          <w:numId w:val="0"/>
        </w:numPr>
      </w:pPr>
    </w:p>
    <w:p w14:paraId="4951995A">
      <w:pPr>
        <w:widowControl/>
        <w:spacing w:line="240" w:lineRule="auto"/>
        <w:ind w:firstLine="0" w:firstLineChars="0"/>
        <w:jc w:val="left"/>
        <w:rPr>
          <w:rFonts w:cs="黑体"/>
          <w:b/>
          <w:bCs/>
          <w:kern w:val="0"/>
          <w:sz w:val="32"/>
          <w:szCs w:val="32"/>
        </w:rPr>
      </w:pPr>
      <w:r>
        <w:br w:type="page"/>
      </w:r>
    </w:p>
    <w:p w14:paraId="3F9138E1">
      <w:pPr>
        <w:pStyle w:val="2"/>
      </w:pPr>
      <w:bookmarkStart w:id="2" w:name="_Toc235285696"/>
      <w:r>
        <w:t>设计愿景与目标</w:t>
      </w:r>
      <w:bookmarkEnd w:id="2"/>
    </w:p>
    <w:p w14:paraId="19EB591A">
      <w:pPr>
        <w:pStyle w:val="3"/>
      </w:pPr>
      <w:bookmarkStart w:id="3" w:name="_Toc235285697"/>
      <w:r>
        <w:rPr>
          <w:rFonts w:hint="eastAsia"/>
        </w:rPr>
        <w:t>设计背景</w:t>
      </w:r>
      <w:bookmarkEnd w:id="3"/>
    </w:p>
    <w:p w14:paraId="3E2700FC">
      <w:pPr>
        <w:ind w:firstLine="480"/>
      </w:pPr>
      <w:r>
        <w:t>以 Ethereum 为代表的传统区块链节点，通常将原生资产转账、合约执行、交易筛选、共识出块与状态维护紧密耦合。该模式适用于单链一体化运行，但在多区协同和外部共识场景下，简单高频转账会与复杂合约竞争计算、存储和带宽资源；节点治理升级往往依赖版本发布或硬分叉；外部链及业务分区产生的事实也缺少统一、可验证的状态入口。因此，本设计并非仅针对单一虚拟机进行性能优化，而是要在四类约束并存时维持执行一致性：外部共识提供确定的排序结果，执行层完成状态转换，业务区与外部链提供跨域事实，治理计划按指定区块高度调整运行策略。执行层必须将这些异构输入收敛为一套可重放、可审计、可验证的链上事实。</w:t>
      </w:r>
    </w:p>
    <w:p w14:paraId="0BDDA0F7">
      <w:pPr>
        <w:ind w:firstLine="480"/>
      </w:pPr>
      <w:r>
        <w:rPr>
          <w:rFonts w:hint="eastAsia"/>
        </w:rPr>
        <w:t>工程实现以 go-ethereum 1.13 的账户模型、EVM、交易池、状态树、区块、收据及 JSON-RPC 为兼容基础，并将共识排序从本地执行主路径中解耦。原生资产转账由 UTXO 转账区承担；质押、动态密码、跨区协同和成本调节等扩展能力，则通过类型化交易（typed transaction）、采用 Data 前缀的系统交易、治理计划及证明对象接入。任何新增能力只有在输入格式、授权来源、状态落点、幂等键、失败语义和回滚规则均被明确后，才能进入确定性执行路径。</w:t>
      </w:r>
    </w:p>
    <w:p w14:paraId="413FEAED">
      <w:pPr>
        <w:pStyle w:val="3"/>
      </w:pPr>
      <w:bookmarkStart w:id="4" w:name="_Toc235285698"/>
      <w:r>
        <w:t>总体设计愿景</w:t>
      </w:r>
      <w:bookmarkEnd w:id="4"/>
    </w:p>
    <w:p w14:paraId="2EB0C56B">
      <w:pPr>
        <w:ind w:firstLine="480"/>
      </w:pPr>
      <w:r>
        <w:t>磐古执行层面向多区协同、跨链互操作和持续治理演进场景，旨在建设统一、可信且可演化的链上计算基础设施。执行层与共识层职责分离，作为各业务分区共享的执行底座，统一承接合约计算、状态维护、结果确认和可验证输出，并为后续扩展提供稳定的兼容边界。</w:t>
      </w:r>
    </w:p>
    <w:p w14:paraId="4E92664C">
      <w:pPr>
        <w:ind w:firstLine="480"/>
      </w:pPr>
      <w:r>
        <w:t>在设计上，执行层将钱包、DApp、治理区、跨链区、存储区及链下计算区的请求统一收敛到确定性状态转换路径，并以交易、证明、收据、日志、检查点和治理计划定义跨层边界。所有扩展能力必须通过受控入口接入，并以链上可验证结果完成闭环，从而避免旁路写状态，确保不同节点对同一输入得到一致结果。</w:t>
      </w:r>
    </w:p>
    <w:p w14:paraId="4500C65F">
      <w:pPr>
        <w:ind w:firstLine="480"/>
      </w:pPr>
    </w:p>
    <w:p w14:paraId="3B420F24">
      <w:pPr>
        <w:pStyle w:val="3"/>
      </w:pPr>
      <w:bookmarkStart w:id="5" w:name="_Toc235285699"/>
      <w:r>
        <w:t>核心设计目标</w:t>
      </w:r>
      <w:bookmarkEnd w:id="5"/>
    </w:p>
    <w:p w14:paraId="400C75DF">
      <w:pPr>
        <w:ind w:firstLine="480"/>
        <w:rPr>
          <w:bCs/>
        </w:rPr>
      </w:pPr>
      <w:r>
        <w:rPr>
          <w:bCs/>
        </w:rPr>
        <w:t>执行层需要同时满足性能、兼容、安全与持续演进等诉求。若缺少统一目标，局部优化可能以牺牲确定性、数据兼容性或跨区可审计性为代价。因此，以下六项目标既用于指导架构取舍，也作为后续详细设计、实现测试和验收评估的共同基线。</w:t>
      </w:r>
    </w:p>
    <w:p w14:paraId="3912C1EB">
      <w:pPr>
        <w:ind w:firstLine="482"/>
      </w:pPr>
      <w:r>
        <w:rPr>
          <w:b/>
        </w:rPr>
        <w:t>通用可插拔：</w:t>
      </w:r>
      <w:r>
        <w:rPr>
          <w:bCs/>
        </w:rPr>
        <w:t>采用统一交易模型、稳定的状态转换接口和模块化执行器承载业务，使调度策略、虚拟机、数据访问组件与算法能力能够按治理规则替换或扩展，同时保持主执行链路稳定。</w:t>
      </w:r>
    </w:p>
    <w:p w14:paraId="1FA624B2">
      <w:pPr>
        <w:ind w:firstLine="482"/>
        <w:rPr>
          <w:bCs/>
        </w:rPr>
      </w:pPr>
      <w:r>
        <w:rPr>
          <w:b/>
        </w:rPr>
        <w:t>可演化自适应：</w:t>
      </w:r>
      <w:r>
        <w:rPr>
          <w:bCs/>
        </w:rPr>
        <w:t>通过带生效高度和幂等约束的治理计划管理参数、执行器、密码算法及经济规则升级，并依据可验证的业务负载与资源状态选择调度策略，避免节点因本地配置差异产生执行分叉。</w:t>
      </w:r>
    </w:p>
    <w:p w14:paraId="43DA8FB7">
      <w:pPr>
        <w:ind w:firstLine="482"/>
        <w:rPr>
          <w:bCs/>
        </w:rPr>
      </w:pPr>
      <w:r>
        <w:rPr>
          <w:b/>
        </w:rPr>
        <w:t>高吞吐与确定性：</w:t>
      </w:r>
      <w:r>
        <w:rPr>
          <w:bCs/>
        </w:rPr>
        <w:t>综合采用单机垂直扩展、多分区水平扩展和事务内并行等手段提升吞吐，同时确保调度顺序、状态读写、失败回滚、收据及日志输出均可重放、可校验。</w:t>
      </w:r>
    </w:p>
    <w:p w14:paraId="32C82B29">
      <w:pPr>
        <w:ind w:firstLine="482"/>
        <w:rPr>
          <w:bCs/>
        </w:rPr>
      </w:pPr>
      <w:r>
        <w:rPr>
          <w:b/>
        </w:rPr>
        <w:t>互操作友好：</w:t>
      </w:r>
      <w:r>
        <w:rPr>
          <w:bCs/>
        </w:rPr>
        <w:t>利用跨区消息、跨链证明、检查点、幂等标识和结果回传机制，将外部事实转换为执行层可验证的输入与输出，并明确超时、重复提交及失败补偿边界。</w:t>
      </w:r>
    </w:p>
    <w:p w14:paraId="442C88E7">
      <w:pPr>
        <w:ind w:firstLine="482"/>
        <w:rPr>
          <w:bCs/>
        </w:rPr>
      </w:pPr>
      <w:r>
        <w:rPr>
          <w:b/>
        </w:rPr>
        <w:t>安全可验证：</w:t>
      </w:r>
      <w:r>
        <w:rPr>
          <w:bCs/>
        </w:rPr>
        <w:t>以状态根、收据根、事件日志、授权信息和证明对象约束状态修改路径，结合账户安全等级、算法白名单和资源限制，防止外部对象或扩展模块绕过执行内核直接改写状态。</w:t>
      </w:r>
    </w:p>
    <w:p w14:paraId="6BC03B38">
      <w:pPr>
        <w:ind w:firstLine="482"/>
      </w:pPr>
      <w:r>
        <w:rPr>
          <w:rFonts w:hint="eastAsia"/>
          <w:b/>
        </w:rPr>
        <w:t>可观测、可运维：</w:t>
      </w:r>
      <w:r>
        <w:rPr>
          <w:rFonts w:hint="eastAsia"/>
          <w:bCs/>
        </w:rPr>
        <w:t>通过统一的只读 RPC、结构化日志、收据、事件和运行指标向上层开放已提交状态，使交易输入、区块内容、治理计划、跨区结果和异常原因均可追溯；监控接口不得成为本地状态写入旁路。</w:t>
      </w:r>
    </w:p>
    <w:p w14:paraId="767ABFAA">
      <w:pPr>
        <w:widowControl/>
        <w:spacing w:line="240" w:lineRule="auto"/>
        <w:ind w:firstLine="0" w:firstLineChars="0"/>
        <w:jc w:val="left"/>
      </w:pPr>
      <w:r>
        <w:br w:type="page"/>
      </w:r>
    </w:p>
    <w:p w14:paraId="5E17DB29">
      <w:pPr>
        <w:pStyle w:val="2"/>
      </w:pPr>
      <w:bookmarkStart w:id="6" w:name="_Toc235285700"/>
      <w:r>
        <w:rPr>
          <w:rFonts w:hint="eastAsia"/>
        </w:rPr>
        <w:t>完整系统架构</w:t>
      </w:r>
      <w:bookmarkEnd w:id="6"/>
    </w:p>
    <w:p w14:paraId="6505407D">
      <w:pPr>
        <w:pStyle w:val="3"/>
      </w:pPr>
      <w:bookmarkStart w:id="7" w:name="_Toc235285701"/>
      <w:r>
        <w:rPr>
          <w:rFonts w:hint="eastAsia"/>
        </w:rPr>
        <w:t>执行层视角下的系统架构</w:t>
      </w:r>
      <w:bookmarkEnd w:id="7"/>
    </w:p>
    <w:p w14:paraId="328077C3">
      <w:pPr>
        <w:ind w:firstLine="480"/>
      </w:pPr>
      <w:r>
        <w:t>完整系统以执行层为状态转换核心组织。从执行层的视角看，整个系统</w:t>
      </w:r>
      <w:r>
        <w:rPr>
          <w:rFonts w:hint="eastAsia"/>
        </w:rPr>
        <w:t>由四</w:t>
      </w:r>
      <w:r>
        <w:t>个外部域构成</w:t>
      </w:r>
      <w:r>
        <w:rPr>
          <w:rFonts w:hint="eastAsia"/>
        </w:rPr>
        <w:t>。</w:t>
      </w:r>
    </w:p>
    <w:p w14:paraId="5B530BAD">
      <w:pPr>
        <w:ind w:firstLine="480"/>
      </w:pPr>
      <w:r>
        <w:rPr>
          <w:rFonts w:hint="eastAsia"/>
        </w:rPr>
        <w:t>（1）应用访问域负责表达用户意图并提供系统操作入口，典型参与方包括钱包、DApp、治理执行器、区块浏览器和运维工具。该域可以提交请求和读取结果，但不能直接参与链上状态写入。</w:t>
      </w:r>
    </w:p>
    <w:p w14:paraId="1BF3C4A4">
      <w:pPr>
        <w:ind w:firstLine="480"/>
      </w:pPr>
      <w:r>
        <w:rPr>
          <w:rFonts w:hint="eastAsia"/>
        </w:rPr>
        <w:t>（2）共识协同域负责候选交易排序、批次提交和最终性边界，为执行层提供唯一、可复现的交易顺序；执行层不在本地重新排序已提交批次。</w:t>
      </w:r>
    </w:p>
    <w:p w14:paraId="71CB846B">
      <w:pPr>
        <w:ind w:firstLine="480"/>
      </w:pPr>
      <w:r>
        <w:rPr>
          <w:rFonts w:hint="eastAsia"/>
        </w:rPr>
        <w:t>（3）网络通信域负责节点发现、交易与区块传播、RPC/gRPC 通道、P2P 消息和外部服务可达性。该域只承担传输职责，不改变交易语义、执行顺序或状态结果。</w:t>
      </w:r>
    </w:p>
    <w:p w14:paraId="3E1F23D4">
      <w:pPr>
        <w:ind w:firstLine="480"/>
      </w:pPr>
      <w:r>
        <w:rPr>
          <w:rFonts w:hint="eastAsia"/>
        </w:rPr>
        <w:t>（4）跨域业务域包括 UTXO 转账区、跨链区、存储区、链下计算区、治理区及其他业务分区，负责向执行层提供资产流转、外部链确认、数据可用性、计算证明和治理授权等事实。所有事实必须携带可验证依据，并通过交易、计划或证明对象进入执行路径。</w:t>
      </w:r>
    </w:p>
    <w:p w14:paraId="052DE8A6">
      <w:pPr>
        <w:spacing w:before="80" w:after="240"/>
        <w:ind w:firstLine="480"/>
        <w:jc w:val="center"/>
      </w:pPr>
      <w:r>
        <w:drawing>
          <wp:inline distT="0" distB="0" distL="0" distR="0">
            <wp:extent cx="4964430" cy="3102610"/>
            <wp:effectExtent l="0" t="0" r="1270" b="0"/>
            <wp:docPr id="1" name="Picture 1" descr="图 1  执行层外部协作架构（一核心 + 四外部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执行层外部协作架构（一核心 + 四外部域）"/>
                    <pic:cNvPicPr>
                      <a:picLocks noChangeAspect="1"/>
                    </pic:cNvPicPr>
                  </pic:nvPicPr>
                  <pic:blipFill>
                    <a:blip r:embed="rId18"/>
                    <a:stretch>
                      <a:fillRect/>
                    </a:stretch>
                  </pic:blipFill>
                  <pic:spPr>
                    <a:xfrm>
                      <a:off x="0" y="0"/>
                      <a:ext cx="4974815" cy="3109260"/>
                    </a:xfrm>
                    <a:prstGeom prst="rect">
                      <a:avLst/>
                    </a:prstGeom>
                  </pic:spPr>
                </pic:pic>
              </a:graphicData>
            </a:graphic>
          </wp:inline>
        </w:drawing>
      </w:r>
    </w:p>
    <w:p w14:paraId="0EF90778">
      <w:pPr>
        <w:spacing w:before="80" w:after="240"/>
        <w:ind w:firstLine="480"/>
        <w:jc w:val="center"/>
      </w:pPr>
      <w:r>
        <w:t>图 1 系统</w:t>
      </w:r>
      <w:r>
        <w:rPr>
          <w:rFonts w:hint="eastAsia"/>
        </w:rPr>
        <w:t>架构图</w:t>
      </w:r>
    </w:p>
    <w:p w14:paraId="0F5CE0B6">
      <w:pPr>
        <w:pStyle w:val="3"/>
      </w:pPr>
      <w:bookmarkStart w:id="8" w:name="_Toc235285702"/>
      <w:r>
        <w:t>执行层</w:t>
      </w:r>
      <w:r>
        <w:rPr>
          <w:rFonts w:hint="eastAsia"/>
        </w:rPr>
        <w:t>整体</w:t>
      </w:r>
      <w:r>
        <w:t>定位</w:t>
      </w:r>
      <w:bookmarkEnd w:id="8"/>
    </w:p>
    <w:p w14:paraId="2A9A2BFC">
      <w:pPr>
        <w:ind w:firstLine="480"/>
      </w:pPr>
      <w:r>
        <w:t>在上述架构中，执行层是完整区块链系统的状态转换中枢，而非孤立的合约执行程序，也不只是单一合约虚拟机。执行层通过应用接入接口承接钱包、DApp、治理执行器和外部工具提交的请求，通过共识协同接口交换候选交易与已排序批次，通过网络通信接口完成交易传播、远程调用和跨节点通信，并在本地确定性执行环境中生成区块、状态根、收据和日志。</w:t>
      </w:r>
    </w:p>
    <w:p w14:paraId="77961B31">
      <w:pPr>
        <w:ind w:firstLine="480"/>
      </w:pPr>
      <w:r>
        <w:t>执行层的边界由应用接入接口、共识协同接口、网络通信接口、跨域协同接口及内部状态转换路径共同定义。应用接入接口接收签名交易、查询请求和治理计划；共识协同接口提交候选交易并接收有序批次；网络通信接口承载 RPC、gRPC、P2P 及外部服务消息；跨域协同接口接收可验证的资产、数据和证明事实；内部主路径固定为交易校验、执行环境构造、状态转移、收据与日志生成、区块组装及落盘。</w:t>
      </w:r>
    </w:p>
    <w:p w14:paraId="1039751A">
      <w:pPr>
        <w:ind w:firstLine="480"/>
      </w:pPr>
      <w:r>
        <w:t>执行层承担交易接入、基础校验、执行环境构造、状态转移、收据与日志生成、区块组装、状态落盘以及查询结果输出等职责。应用访问域只负责提交请求和读取结果，共识协同域只提供排序与提交事实，网络通信域只保证消息传输与服务可达性，跨域业务域只提供经过授权或证明的外部事实。任何影响账户、区块、收据、日志或执行参数的逻辑，都必须回到执行层的确定性状态转换路径中闭环。转账协同、跨链验证、治理升级、存储访问、链下计算、Gas、质押、激励和并行执行等能力，均是这一中枢职责在不同输入对象上的具体落点。</w:t>
      </w:r>
    </w:p>
    <w:p w14:paraId="658F4EE4">
      <w:pPr>
        <w:pStyle w:val="2"/>
      </w:pPr>
      <w:bookmarkStart w:id="9" w:name="_Toc235285703"/>
      <w:r>
        <w:t>执行层总体</w:t>
      </w:r>
      <w:r>
        <w:rPr>
          <w:rFonts w:hint="eastAsia"/>
        </w:rPr>
        <w:t>框架</w:t>
      </w:r>
      <w:bookmarkEnd w:id="9"/>
    </w:p>
    <w:p w14:paraId="1F98098F">
      <w:pPr>
        <w:ind w:firstLine="480"/>
      </w:pPr>
      <w:r>
        <w:t>第三章承接第二章对执行层角色的界定，进一步说明执行层内部如何组织为可实现、可验证的总体框架。与第二章的系统视角不同，本章聚焦执行层自身，回答其组成部分、请求的状态转换路径，以及各部分在工程实现中的职责与边界。</w:t>
      </w:r>
    </w:p>
    <w:p w14:paraId="501CCBF5">
      <w:pPr>
        <w:ind w:firstLine="480"/>
      </w:pPr>
      <w:r>
        <w:t>本章围绕“确定性执行内核”展开：首先说明设计约束并给出总体框架（3.1）；随后描述状态如何在内核中被确定性转换（3.2）；然后阐明输入输出边界如何接入外部请求并输出执行结果（3.3）；最后总览插入主路径的内部能力，并将其映射到第五章的模块体系（3.4）。</w:t>
      </w:r>
    </w:p>
    <w:p w14:paraId="0466FAF2">
      <w:pPr>
        <w:ind w:firstLine="480"/>
      </w:pPr>
    </w:p>
    <w:p w14:paraId="65DDAD62">
      <w:pPr>
        <w:pStyle w:val="3"/>
      </w:pPr>
      <w:bookmarkStart w:id="10" w:name="_Toc235285704"/>
      <w:r>
        <w:rPr>
          <w:rFonts w:hint="eastAsia"/>
        </w:rPr>
        <w:t>设计约束与框架</w:t>
      </w:r>
      <w:bookmarkEnd w:id="10"/>
    </w:p>
    <w:p w14:paraId="48215D64">
      <w:pPr>
        <w:ind w:firstLine="480"/>
      </w:pPr>
      <w:r>
        <w:t>执行层的总体框架由四项工程约束共同决定。</w:t>
      </w:r>
    </w:p>
    <w:p w14:paraId="21D6CE7E">
      <w:pPr>
        <w:ind w:firstLine="420" w:firstLineChars="0"/>
      </w:pPr>
      <w:r>
        <w:rPr>
          <w:rFonts w:hint="eastAsia"/>
          <w:b/>
          <w:bCs/>
        </w:rPr>
        <w:t>（1）共识与执行分离：</w:t>
      </w:r>
      <w:r>
        <w:rPr>
          <w:rFonts w:hint="eastAsia"/>
        </w:rPr>
        <w:t>共识层只负责交易排序、批次确认和最终性边界，执行层负责在既定顺序下完成状态转换。共识层不需要理解账户、合约和经济规则等业务语义；账户、合约、Gas、治理、跨区及跨链逻辑必须在执行层内部形成闭环。</w:t>
      </w:r>
    </w:p>
    <w:p w14:paraId="48BC7A16">
      <w:pPr>
        <w:ind w:firstLine="420" w:firstLineChars="0"/>
      </w:pPr>
      <w:r>
        <w:rPr>
          <w:rFonts w:hint="eastAsia"/>
          <w:b/>
          <w:bCs/>
        </w:rPr>
        <w:t>（2）确定性与可复现：</w:t>
      </w:r>
      <w:r>
        <w:rPr>
          <w:rFonts w:hint="eastAsia"/>
        </w:rPr>
        <w:t>同一批次在所有执行节点上必须产生相同的状态根、收据根和日志结果。为此，调度顺序、虚拟机调用、状态读写、时间与随机数来源、失败处理和回滚行为均须可重放，并禁止依赖未纳入区块上下文的本地环境信息。</w:t>
      </w:r>
    </w:p>
    <w:p w14:paraId="01A46E52">
      <w:pPr>
        <w:ind w:firstLine="420" w:firstLineChars="0"/>
      </w:pPr>
      <w:r>
        <w:rPr>
          <w:rFonts w:hint="eastAsia"/>
          <w:b/>
          <w:bCs/>
        </w:rPr>
        <w:t>（3）可插拔与可演化：</w:t>
      </w:r>
      <w:r>
        <w:rPr>
          <w:rFonts w:hint="eastAsia"/>
        </w:rPr>
        <w:t>虚拟机、调度策略、密码算法和经济规则应通过稳定接口及治理计划进行替换或升级。升级必须明确版本、授权、生效高度、兼容范围和回滚方案，避免对主执行链路造成不可控影响。</w:t>
      </w:r>
    </w:p>
    <w:p w14:paraId="5A0C18AF">
      <w:pPr>
        <w:ind w:firstLine="420" w:firstLineChars="0"/>
      </w:pPr>
      <w:r>
        <w:rPr>
          <w:rFonts w:hint="eastAsia"/>
          <w:b/>
          <w:bCs/>
        </w:rPr>
        <w:t>（4）多区与跨链互操作：</w:t>
      </w:r>
      <w:r>
        <w:rPr>
          <w:rFonts w:hint="eastAsia"/>
        </w:rPr>
        <w:t>外部分区和外部链产生的事实必须以可验证载体进入执行层，并具备来源、确认高度、幂等标识和失败边界；任何外部服务均不得绕过执行内核直接改写状态。</w:t>
      </w:r>
    </w:p>
    <w:p w14:paraId="66E40E3A">
      <w:pPr>
        <w:ind w:firstLine="480"/>
      </w:pPr>
      <w:r>
        <w:rPr>
          <w:rFonts w:hint="eastAsia"/>
        </w:rPr>
        <w:t>除共识与执行分离外，转账与执行分离也是界定执行层职责的关键划分。以太坊将原生资产转账和合约执行置于同一执行路径，使简单转账与复杂合约调用共享状态机、Gas 计量和吞吐上限。磐古将原生资产流转独立到 UTXO 转账区，执行层聚焦合约交互与账户状态转换。两类负载特征差异显著：转账简单、高频且易于并行，合约执行则逻辑复杂、状态依赖较强。分区独立扩展后，可降低资源争用，同时通过跨区确认机制维持资产与执行结果的一致性。</w:t>
      </w:r>
    </w:p>
    <w:p w14:paraId="2CB2563C">
      <w:pPr>
        <w:ind w:firstLine="480"/>
      </w:pPr>
      <w:r>
        <w:t>该划分并不会割裂资金使用，而是形成“功能隔离、价值统一”的协作格局。转账区作为原生资产托管与流转枢纽，各业务区在需要资金时通过受控跨区流程从转账区提取，例如合约执行所需的 Gas 可由转账区资产支付；业务区剩余资金也可按规则回存。各区在功能上独立扩展，但在价值层面通过统一的提款、找零、确认和对账事实保持一致。执行层由此专注合约执行，不直接承担原生资产托管；相关跨区接口在第四章进一步说明。</w:t>
      </w:r>
    </w:p>
    <w:p w14:paraId="25598350">
      <w:pPr>
        <w:ind w:firstLine="480"/>
      </w:pPr>
      <w:r>
        <w:t>综合上述约束及转账/执行职责划分，执行层形成以确定性执行内核为中心的总体框架。内核是状态结果的唯一产生位置；外层输入输出边界负责收敛请求接入、共识协同、网络通信、跨域事实和结果输出；内核主路径上按需调用数据状态、经济结算、治理控制、跨域协同、安全算法及链下服务等可插拔能力。各部分仅通过明确的数据对象和接口交互，任何影响状态的逻辑都必须返回确定性主干完成提交或回滚。</w:t>
      </w:r>
    </w:p>
    <w:p w14:paraId="7FD0A933">
      <w:pPr>
        <w:pStyle w:val="3"/>
      </w:pPr>
      <w:bookmarkStart w:id="11" w:name="_Toc235285705"/>
      <w:r>
        <w:rPr>
          <w:rFonts w:hint="eastAsia"/>
        </w:rPr>
        <w:t>确定性执行内核</w:t>
      </w:r>
      <w:bookmarkEnd w:id="11"/>
    </w:p>
    <w:p w14:paraId="7E12F786">
      <w:pPr>
        <w:ind w:firstLine="480"/>
      </w:pPr>
      <w:r>
        <w:t>确定性执行内核负责将共识层给定顺序的批次转换为唯一的链上状态事实。内核沿固定主干运行：接收 ExecBlock 后，根据父区块、时间戳、领导者、随机数和激励数据构造执行环境；随后按共识顺序逐笔处理状态更新、虚拟机调用、系统交易、Gas 或替代支付、账户安全校验、治理计划生效以及跨区/跨链事实消费；每笔交易均生成明确的成功或失败收据及日志；最后组装区块、校验各类根值并写入本地区块链，同时更新索引与查询视图。第六章所述关键流程均是该主干对不同输入对象的具体展开。</w:t>
      </w:r>
    </w:p>
    <w:p w14:paraId="3C82C55E">
      <w:pPr>
        <w:ind w:firstLine="480"/>
      </w:pPr>
      <w:r>
        <w:rPr>
          <w:rFonts w:hint="eastAsia"/>
        </w:rPr>
        <w:t>执行</w:t>
      </w:r>
      <w:r>
        <w:t>内核的首要工程要求是确定性与可复现。执行层不重新决定交易顺序，而是在相同父区块、参数状态和交易序列下得到唯一结果；所有影响状态根、收据根、日志及扩展区块头字段的动作必须在执行阶段闭合，未提交中间态不得进入对外查询。虚拟机保持 EVM 兼容以承接现有合约生态；UltraVM、确定性并发和专用执行器属于演进能力，在输入输出、资源隔离、冲突处理和回滚规则闭合前，其结果不得写入正式区块状态。</w:t>
      </w:r>
    </w:p>
    <w:p w14:paraId="31339515">
      <w:pPr>
        <w:ind w:firstLine="480"/>
      </w:pPr>
      <w:r>
        <w:t>执行内核以统一的数据与状态模型为基础。交易、区块、账户、收据、日志和参数计划构成核心事实载体；账户除余额、Nonce、代码和存储外，还可承载安全等级、后量子计数、经济分账、质押关系、合约运行状态及执行层扩展统计字段。经济状态中的本金、活期利息和定期利息应分别记账，质押与奖励则通过带规则版本的关系和结算记录表达。新增账户字段、区块头字段和交易类型应采用版本化编码并保持 RLP 解码兼容，同时明确默认值与历史数据迁移规则。该状态基础既是确定性执行的落点，也是各类扩展能力形成可验证表达的共同依托。</w:t>
      </w:r>
    </w:p>
    <w:p w14:paraId="54B38B7F">
      <w:pPr>
        <w:pStyle w:val="3"/>
      </w:pPr>
      <w:bookmarkStart w:id="12" w:name="_Toc235285706"/>
      <w:r>
        <w:rPr>
          <w:rFonts w:hint="eastAsia"/>
        </w:rPr>
        <w:t>输入输出边界</w:t>
      </w:r>
      <w:bookmarkEnd w:id="12"/>
    </w:p>
    <w:p w14:paraId="4E1B0425">
      <w:pPr>
        <w:ind w:firstLine="482"/>
        <w:rPr>
          <w:b/>
        </w:rPr>
      </w:pPr>
      <w:r>
        <w:rPr>
          <w:b/>
        </w:rPr>
        <w:t>边界定位</w:t>
      </w:r>
    </w:p>
    <w:p w14:paraId="0F7244A5">
      <w:pPr>
        <w:ind w:firstLine="480"/>
      </w:pPr>
      <w:r>
        <w:t>本节只描述执行层与外部系统之间的信息交换边界，重点回答三个问题：哪些信息可以进入执行层、哪些结果可以离开执行层，以及边界组件可以做什么和不能做什么。该边界由应用接入、共识协同、网络通信、跨域协同和查询出口组成，只负责协议适配、身份与权限校验、格式检查、路由和访问控制，不决定最终交易顺序，也不直接修改链上状态；任何状态变化都必须进入确定性执行内核后产生。</w:t>
      </w:r>
    </w:p>
    <w:p w14:paraId="7A83DA03">
      <w:pPr>
        <w:ind w:firstLine="482"/>
        <w:rPr>
          <w:b/>
        </w:rPr>
      </w:pPr>
      <w:bookmarkStart w:id="13" w:name="OLE_LINK5"/>
      <w:r>
        <w:rPr>
          <w:rFonts w:hint="eastAsia"/>
          <w:b/>
        </w:rPr>
        <w:t>执行层</w:t>
      </w:r>
      <w:r>
        <w:rPr>
          <w:b/>
        </w:rPr>
        <w:t>输入</w:t>
      </w:r>
    </w:p>
    <w:bookmarkEnd w:id="13"/>
    <w:p w14:paraId="4DB86892">
      <w:pPr>
        <w:ind w:firstLine="480"/>
      </w:pPr>
      <w:r>
        <w:t>进入执行层的信息可分为四类：（1）用户与应用请求，包括签名交易、合约调用和治理操作；（2）共识输入，包括共识层返回的已排序批次、提交边界和最终性信息；（3）跨域事实，包括 PoT、UTXO、BCI/DCI、跨链证明及其他业务分区提交的可验证消息；（4）查询请求，包括应用、运维和治理工具发起的只读访问。除查询请求进入只读服务外，其他输入必须先被规范化为交易、已排序批次、治理计划或证明对象，并携带可验证的来源、版本、授权和唯一标识。边界校验通过仅表示该对象具备进入后续处理的资格，不代表执行成功或状态已经生效。</w:t>
      </w:r>
    </w:p>
    <w:p w14:paraId="13FEC0EA">
      <w:pPr>
        <w:ind w:firstLine="482"/>
        <w:rPr>
          <w:b/>
        </w:rPr>
      </w:pPr>
      <w:r>
        <w:rPr>
          <w:rFonts w:hint="eastAsia"/>
          <w:b/>
        </w:rPr>
        <w:t>执行层输出</w:t>
      </w:r>
    </w:p>
    <w:p w14:paraId="2C37635A">
      <w:pPr>
        <w:ind w:firstLine="480"/>
      </w:pPr>
      <w:r>
        <w:t>离开执行层的信息可分为三类：（1）链上执行结果，包括区块、状态根、收据根、交易收据和事件日志；（2）跨层协同结果，包括向共识层反馈的校验与执行结果，以及向业务分区返回的跨区完成事实、证明或回调信息；（3）只读查询结果，包括账户状态、质押信息、治理参数、安全等级、区块头扩展字段和跨区执行结果。每项输出都应标明所依据的区块高度、确认状态、数据版本和错误码，使接收方能够判断其是否可以作为后续处理依据。</w:t>
      </w:r>
    </w:p>
    <w:p w14:paraId="1DEEBCA1">
      <w:pPr>
        <w:pStyle w:val="3"/>
      </w:pPr>
      <w:bookmarkStart w:id="14" w:name="_Toc235285707"/>
      <w:r>
        <w:rPr>
          <w:rFonts w:hint="eastAsia"/>
        </w:rPr>
        <w:t>内部功能模块</w:t>
      </w:r>
      <w:bookmarkEnd w:id="14"/>
    </w:p>
    <w:p w14:paraId="2C44E8A5">
      <w:pPr>
        <w:ind w:firstLine="480"/>
      </w:pPr>
      <w:r>
        <w:t>除执行内核和输入输出边界外，执行层还包含一组嵌入主执行链路的内部能力。它们不是独立状态机，而是在内核的指定阶段被调用</w:t>
      </w:r>
      <w:r>
        <w:rPr>
          <w:rFonts w:hint="eastAsia"/>
        </w:rPr>
        <w:t>。这些功能模块</w:t>
      </w:r>
      <w:r>
        <w:t>将各自输入转换为可消费的交易、计划、证明或状态操作，再将结果落到区块、账户、收据、日志或可查询证明中。主要能力如下。</w:t>
      </w:r>
    </w:p>
    <w:p w14:paraId="6A9DC586">
      <w:pPr>
        <w:ind w:firstLine="482"/>
      </w:pPr>
      <w:r>
        <w:rPr>
          <w:b/>
        </w:rPr>
        <w:t>数据与状态模型：</w:t>
      </w:r>
      <w:r>
        <w:rPr>
          <w:bCs/>
        </w:rPr>
        <w:t>统一定义并维护交易、区块、账户、收据、日志和参数计划等事实载体，为其他能力提供版本化、可验证的状态读写接口、扩展字段和历史数据兼容规则。</w:t>
      </w:r>
    </w:p>
    <w:p w14:paraId="41AF9FBD">
      <w:pPr>
        <w:ind w:firstLine="482"/>
      </w:pPr>
      <w:r>
        <w:rPr>
          <w:b/>
        </w:rPr>
        <w:t>经济结算：</w:t>
      </w:r>
      <w:r>
        <w:rPr>
          <w:bCs/>
        </w:rPr>
        <w:t>处理交易费、系统奖励依据、跨区贡献、合约运维费用、质押收益和服务者收益，并将本金、活期利息、定期利息分账管理。执行层负责登记可复核的计费与奖励事实、执行链上规则并输出激励记录</w:t>
      </w:r>
      <w:r>
        <w:rPr>
          <w:rFonts w:hint="eastAsia"/>
          <w:bCs/>
        </w:rPr>
        <w:t>并交由PoT进行备案和确认。执行层还</w:t>
      </w:r>
      <w:r>
        <w:rPr>
          <w:bCs/>
        </w:rPr>
        <w:t>支持动态 PoW、虚拟利息及 Voucher 代金券等 Gas 支付与成本调节机制</w:t>
      </w:r>
      <w:r>
        <w:rPr>
          <w:rFonts w:hint="eastAsia"/>
          <w:bCs/>
        </w:rPr>
        <w:t>。</w:t>
      </w:r>
    </w:p>
    <w:p w14:paraId="098FEB62">
      <w:pPr>
        <w:ind w:firstLine="482"/>
        <w:rPr>
          <w:bCs/>
        </w:rPr>
      </w:pPr>
      <w:r>
        <w:rPr>
          <w:b/>
        </w:rPr>
        <w:t>治理控制：</w:t>
      </w:r>
      <w:r>
        <w:rPr>
          <w:bCs/>
        </w:rPr>
        <w:t>将治理决议转换为参数计划、算法升级或系统合约升级，并约束到指定生效高度；分别定义参数热更新、算法热更新和系统合约升级的授权、兼容及回滚边界。</w:t>
      </w:r>
    </w:p>
    <w:p w14:paraId="7145BA48">
      <w:pPr>
        <w:ind w:firstLine="482"/>
        <w:rPr>
          <w:bCs/>
        </w:rPr>
      </w:pPr>
      <w:r>
        <w:rPr>
          <w:b/>
        </w:rPr>
        <w:t>跨域协同：</w:t>
      </w:r>
      <w:r>
        <w:rPr>
          <w:bCs/>
        </w:rPr>
        <w:t>处理与 UTXO 转账区、PoT 及其他业务分区的边界交互，例如提款支付 Gas、资金提取与回存；同时完成外部链事实的证明校验、幂等消费、结果登记和回调输出。</w:t>
      </w:r>
    </w:p>
    <w:p w14:paraId="1B085864">
      <w:pPr>
        <w:ind w:firstLine="482"/>
        <w:rPr>
          <w:bCs/>
        </w:rPr>
      </w:pPr>
      <w:r>
        <w:rPr>
          <w:b/>
        </w:rPr>
        <w:t>安全算法：</w:t>
      </w:r>
      <w:r>
        <w:rPr>
          <w:bCs/>
        </w:rPr>
        <w:t>覆盖原生签名、后量子签名和动态密码验证，并通过来源校验、版本白名单、沙箱隔离、资源限制、超时控制及回滚机制约束可扩展算法的装载与调用。</w:t>
      </w:r>
    </w:p>
    <w:p w14:paraId="2A33ADF3">
      <w:pPr>
        <w:ind w:firstLine="482"/>
      </w:pPr>
      <w:r>
        <w:rPr>
          <w:b/>
        </w:rPr>
        <w:t>链下服务：</w:t>
      </w:r>
      <w:r>
        <w:rPr>
          <w:bCs/>
        </w:rPr>
        <w:t>将高成本计算放在链外完成，以结果承诺、证明或验证摘要提交，由内核校验可用性并登记完成事实；同时提供只读运行监控、索引和对外查询，确保链下服务不成为状态写入旁路。</w:t>
      </w:r>
    </w:p>
    <w:p w14:paraId="1BA510E8">
      <w:pPr>
        <w:ind w:firstLine="480"/>
      </w:pPr>
      <w:r>
        <w:t>每类能力都必须在验证边界内提供服务。外部对象若不满足证明有效性、授权、幂等、生效高度、资源约束或回滚条件，只能以待验证事实进入，并在失败时停留于明确阶段，不能直接改写账户状态。该约束确保扩展能力不会破坏执行内核的确定性、原子性和统一状态语义。</w:t>
      </w:r>
    </w:p>
    <w:p w14:paraId="6457B09A">
      <w:pPr>
        <w:ind w:firstLine="480"/>
      </w:pPr>
      <w:r>
        <w:rPr>
          <w:rFonts w:hint="eastAsia"/>
        </w:rPr>
        <w:t>综上，确定性执行内核、输入输出边界和内部能力共同构成执行层总体框架，并在第五章按职责域落实为模块描述。每个模块统一回答四个问题，即接收何种输入、参与主干的哪个阶段、写入何种状态或输出何种事实、失败时停留在哪里。第六章再将这些模块串联为普通交易、跨区转账、参数升级、算法升级和合约质押等关键流程。</w:t>
      </w:r>
    </w:p>
    <w:p w14:paraId="5264E8D2">
      <w:pPr>
        <w:pStyle w:val="2"/>
      </w:pPr>
      <w:bookmarkStart w:id="15" w:name="_Toc235285708"/>
      <w:r>
        <w:rPr>
          <w:rFonts w:hint="eastAsia"/>
        </w:rPr>
        <w:t>执行层与其他子系统交互关系</w:t>
      </w:r>
      <w:bookmarkEnd w:id="15"/>
    </w:p>
    <w:p w14:paraId="61446F7C">
      <w:pPr>
        <w:ind w:firstLine="480"/>
      </w:pPr>
      <w:r>
        <w:t>本章从子系统协作视角描述执行层的外部边界。</w:t>
      </w:r>
      <w:r>
        <w:rPr>
          <w:rFonts w:hint="eastAsia"/>
        </w:rPr>
        <w:t>执行层同时扮演服务提供方与服务使用方。</w:t>
      </w:r>
      <w:r>
        <w:t>执行层向</w:t>
      </w:r>
      <w:r>
        <w:rPr>
          <w:rFonts w:hint="eastAsia"/>
        </w:rPr>
        <w:t>其对外提供的能力构成支撑接口，依赖其他子系统提供的能力构成依赖接口</w:t>
      </w:r>
      <w:r>
        <w:t>。所有接口对象进入执行层后，都必须被转换为执行层可识别的交易、批次、计划、证明或查询动作；任何影响账户、区块、收据、日志或执行参数的逻辑，都必须回到执行层的确定性状态转换路径中完成。</w:t>
      </w:r>
    </w:p>
    <w:p w14:paraId="1975CEB4">
      <w:pPr>
        <w:ind w:firstLine="480"/>
      </w:pPr>
      <w:r>
        <w:t>接口交换遵循统一约束。接口输入必须满足可验证和可复现要求，不满足条件的输入只能在接入、校验或执行准备阶段失败，不能形成部分状态写入；接口输出以链上事实和可查询事实为主，包括区块、状态根、收据根、交易收据、事件日志、扩展区块头字段、检查点、账户状态、质押信息、治理参数和跨区完成事实，执行层不把未提交的内部状态作为跨层协作依据。本章各节按子系统展开，说明执行层与每个子系统之间交换什么对象、承担什么责任、在哪里失败。</w:t>
      </w:r>
    </w:p>
    <w:p w14:paraId="52FC78EF">
      <w:pPr>
        <w:pStyle w:val="3"/>
      </w:pPr>
      <w:bookmarkStart w:id="16" w:name="_Toc235285709"/>
      <w:r>
        <w:rPr>
          <w:rFonts w:hint="eastAsia"/>
        </w:rPr>
        <w:t>共识层</w:t>
      </w:r>
      <w:bookmarkEnd w:id="16"/>
    </w:p>
    <w:p w14:paraId="0CD131D3">
      <w:pPr>
        <w:ind w:firstLine="480"/>
      </w:pPr>
      <w:r>
        <w:rPr>
          <w:rFonts w:hint="eastAsia"/>
        </w:rPr>
        <w:t>共识层由委员会共识和 PoT 共识两部分组成。委员会共识主要负责交易排序与批次最终性，PoT 共识主要负责全系统激励归一化、关键数据备份、检查点及系统级治理约束；两者均不直接执行账户或合约状态转换。</w:t>
      </w:r>
    </w:p>
    <w:p w14:paraId="1EDB05A1">
      <w:pPr>
        <w:pStyle w:val="5"/>
      </w:pPr>
      <w:bookmarkStart w:id="17" w:name="_Toc235285710"/>
      <w:r>
        <w:rPr>
          <w:rFonts w:hint="eastAsia"/>
        </w:rPr>
        <w:t>委员会共识</w:t>
      </w:r>
      <w:bookmarkEnd w:id="17"/>
    </w:p>
    <w:p w14:paraId="385409C2">
      <w:pPr>
        <w:ind w:firstLine="480"/>
      </w:pPr>
      <w:r>
        <w:t>委员会共识（Whirly/CrWhirly）负责分区内普通业务交易的提议、投票、证明形成与顺序提交，是执行层确定性执行顺序的直接来源。其解决“哪些交易以何种先后顺序进入执行”的问题，不解释合约业务语义，也不维护账户状态。委员会成员、领导者、分区名称及子共识配置由已确认的 PoT epoch 和分区信号驱动。</w:t>
      </w:r>
    </w:p>
    <w:p w14:paraId="0B072E06">
      <w:pPr>
        <w:ind w:firstLine="482"/>
      </w:pPr>
      <w:r>
        <w:rPr>
          <w:b/>
        </w:rPr>
        <w:t>依赖接口：</w:t>
      </w:r>
      <w:r>
        <w:t>执行层通过 CommitBlock/ExecBlock 接收已达到提交条件的有序批次。批次至少应携带分区名称、共识编号（consensusID）、批次或区块标识、父块上下文、确定交易顺序、委员会证明（proof）及必要的时间戳、领导者、随机数和激励信息。只有证明达到协议提交条件后才能调用 CommitBlock；执行层须校验证明与批次绑定关系，并以“分区名称＋共识编号＋批次标识/证明摘要”执行幂等去重。父块不匹配、顺序不可复现、证明无效或同一标识内容不一致时，应整体拒绝且不得产生部分状态写入。</w:t>
      </w:r>
    </w:p>
    <w:p w14:paraId="2D7D47CA">
      <w:pPr>
        <w:ind w:firstLine="482"/>
      </w:pPr>
      <w:r>
        <w:rPr>
          <w:b/>
        </w:rPr>
        <w:t>支撑接口：</w:t>
      </w:r>
      <w:r>
        <w:t>执行层向目标分区提交通过基础校验的候选交易，并向委员会提供确定性的 VerifyTx 校验能力，用于在交易进入提议或投票前排除格式、签名、链标识、Nonce 等明显非法输入。执行完成后，执行层向调用方返回可重试的接收状态、执行区块标识及失败原因，供委员会推进提交进度；完整执行区块、执行头、交易摘要、检查点和激励依据则进入 PoT 备案链路，不要求委员会承担系统级结果确认。</w:t>
      </w:r>
    </w:p>
    <w:p w14:paraId="7E21A257">
      <w:pPr>
        <w:ind w:firstLine="482"/>
      </w:pPr>
      <w:r>
        <w:rPr>
          <w:b/>
        </w:rPr>
        <w:t>抗审查路径：</w:t>
      </w:r>
      <w:r>
        <w:t>对需要公平性增强的交易，CrWhirly 采用“先密文定序、后门限解密、再执行”的路径。委员会在密文不可读的情况下完成提议和投票，并在达到阈值后收集可验证解密份额、恢复明文并形成抗审查证明；执行层只接收与原密文批次、定序证明和门限恢复证明一致的明文交易。份额不足、证明不匹配或明文与密文承诺不一致时，不得转入正常执行路径。</w:t>
      </w:r>
    </w:p>
    <w:p w14:paraId="792F4672">
      <w:pPr>
        <w:pStyle w:val="5"/>
      </w:pPr>
      <w:bookmarkStart w:id="18" w:name="_Toc235285711"/>
      <w:bookmarkStart w:id="19" w:name="OLE_LINK8"/>
      <w:r>
        <w:rPr>
          <w:rFonts w:hint="eastAsia"/>
        </w:rPr>
        <w:t>PoT共识</w:t>
      </w:r>
      <w:bookmarkEnd w:id="18"/>
    </w:p>
    <w:bookmarkEnd w:id="19"/>
    <w:p w14:paraId="53E225FC">
      <w:pPr>
        <w:ind w:firstLine="480"/>
      </w:pPr>
      <w:r>
        <w:t>PoT 是系统级基础共识与全局事实确认层，负责持续推进 VDF/epoch、基础区块和主链选择，统一登记并确认分区与委员会身份信号、执行结果摘要、跨链检查点、PoT 原生资产、出块与委员会激励、BCI 奖励及协议控制事务</w:t>
      </w:r>
      <w:r>
        <w:rPr>
          <w:rFonts w:hint="eastAsia"/>
        </w:rPr>
        <w:t>与参数</w:t>
      </w:r>
      <w:r>
        <w:t>。PoT 不承担普通业务交易的分区内定序，也不执行账户或合约状态转换；委员会共识负责业务定序，执行层负责确定性状态转换，PoT 负责将执行结果和系统事务固化为全网可追溯、可验证的系统事实。即使暂无新的执行结果，PoT 仍独立推进基础区块，以维持全局时间、治理和确认节奏。</w:t>
      </w:r>
    </w:p>
    <w:p w14:paraId="25D80625">
      <w:pPr>
        <w:ind w:firstLine="482"/>
      </w:pPr>
      <w:r>
        <w:rPr>
          <w:b/>
          <w:bCs/>
        </w:rPr>
        <w:t>支撑接口：</w:t>
      </w:r>
      <w:r>
        <w:t>执行层向 PoT 提供三类能力</w:t>
      </w:r>
      <w:r>
        <w:rPr>
          <w:rFonts w:hint="eastAsia"/>
        </w:rPr>
        <w:t>。</w:t>
      </w:r>
      <w:r>
        <w:t>一是按连续执行高度区间输出已落盘的执行区块、执行头、交易摘要、跨链检查点和激励数据；二是提供交易及激励结果核验，使 PoT 能够校验备案对象与执行事实的一致性；三是为 PoT 发起的系统或外部交易提供受控接入。上述接口应保证数据可复核、游标连续、调用幂等、错误可定位；只允许输出已提交结果，受控接入不得绕过交易池、委员会定序和确定性执行路径直接修改状态。</w:t>
      </w:r>
    </w:p>
    <w:p w14:paraId="0C766C15">
      <w:pPr>
        <w:ind w:firstLine="482"/>
      </w:pPr>
      <w:r>
        <w:rPr>
          <w:b/>
          <w:bCs/>
        </w:rPr>
        <w:t>依赖接口：</w:t>
      </w:r>
      <w:r>
        <w:t>执行层依赖 PoT 提供两类经确认输入</w:t>
      </w:r>
      <w:r>
        <w:rPr>
          <w:rFonts w:hint="eastAsia"/>
        </w:rPr>
        <w:t>。</w:t>
      </w:r>
      <w:r>
        <w:t>一是已确认 epoch 对应的分区、委员会、领导者、协议配置及其版本和生效边界，用于校验后续委员会批次上下文；二是执行备案及系统事务的确认结果，包括 PoT 基础块高度、基础块哈希、确认深度、已确认执行高度区间、检查点和激励确认状态，用于区分“已执行”与“已备案/全局确认”。执行层仅消费稳定、可验证且与当前 PoT 主链一致的对象；候选或 proposed 状态不得视为最终确认。PoT 分支切换或暂时不可用不得直接改变已提交的执行结果，涉及业务状态回退时，须由独立、版本化且经授权的协议处理。</w:t>
      </w:r>
    </w:p>
    <w:p w14:paraId="6A51EAB1">
      <w:pPr>
        <w:pStyle w:val="3"/>
      </w:pPr>
      <w:bookmarkStart w:id="20" w:name="_Toc235285712"/>
      <w:r>
        <w:rPr>
          <w:rFonts w:hint="eastAsia"/>
        </w:rPr>
        <w:t>网络层</w:t>
      </w:r>
      <w:bookmarkEnd w:id="20"/>
    </w:p>
    <w:p w14:paraId="6054E9F1">
      <w:pPr>
        <w:ind w:firstLine="480"/>
      </w:pPr>
      <w:r>
        <w:t>网络层为执行层提供节点发现、交易与区块传播、RPC/gRPC 通道、P2P 消息以及外部服务可达性。网络层限定消息传输和会话管理方式，不参与业务语义判断，也不得改变交易内容、执行顺序或状态根。</w:t>
      </w:r>
    </w:p>
    <w:p w14:paraId="349FAC6D">
      <w:pPr>
        <w:ind w:firstLine="482"/>
      </w:pPr>
      <w:r>
        <w:rPr>
          <w:b/>
          <w:bCs/>
        </w:rPr>
        <w:t>依赖接口：</w:t>
      </w:r>
      <w:r>
        <w:t>执行层依赖网络层承载应用请求接入、候选交易向共识层提交、节点间交易与区块传播，以及 PoT、UTXO、BCI/DCI 和跨链证明等外部服务调用。网络层需要提供连接认证、消息完整性校验、限流、超时、重试和重放防护，并将传输错误与业务拒绝明确区分。去中心化 VPN 或匿名网络可作为可选的传输覆盖层，为执行层提供节点拓扑隐藏、网络侧流量关联防护和跨域可达性增强能力，同时支持直连与匿名通道的策略切换、健康探测及故障降级。此类覆盖网络不属于执行一致性的信任基础，执行层仍须独立校验端点身份、消息签名、完整性、时效性和重放状态。</w:t>
      </w:r>
    </w:p>
    <w:p w14:paraId="6CA69E52">
      <w:pPr>
        <w:ind w:firstLine="482"/>
      </w:pPr>
      <w:r>
        <w:rPr>
          <w:b/>
          <w:bCs/>
        </w:rPr>
        <w:t>支撑接口：</w:t>
      </w:r>
      <w:r>
        <w:t>执行层通过网络层注册并暴露交易提交、只读查询、共识协同和跨区回调等服务端点，并允许这些服务通过直连网络、去中心化 VPN 或匿名网络按部署策略对外提供。</w:t>
      </w:r>
    </w:p>
    <w:p w14:paraId="520EE675">
      <w:pPr>
        <w:ind w:firstLine="480"/>
      </w:pPr>
      <w:r>
        <w:t>当前实现中，节点发现、交易传播和区块同步等通道复用以太坊网络协议与实现，以降低兼容成本；执行层与各业务分区之间主要采用 gRPC 通信。</w:t>
      </w:r>
    </w:p>
    <w:p w14:paraId="20BFC695">
      <w:pPr>
        <w:pStyle w:val="3"/>
      </w:pPr>
      <w:bookmarkStart w:id="21" w:name="_Toc235285713"/>
      <w:r>
        <w:rPr>
          <w:rFonts w:hint="eastAsia"/>
        </w:rPr>
        <w:t>转账区</w:t>
      </w:r>
      <w:bookmarkEnd w:id="21"/>
    </w:p>
    <w:p w14:paraId="052AA251">
      <w:pPr>
        <w:ind w:firstLine="480"/>
      </w:pPr>
      <w:r>
        <w:t>转账区负责原生资产的 UTXO 流转与确认，执行层负责账户模型中的资金映射、合约侧使用和结果登记，双方通过 Transfer 与 Execute 分离协作。跨区流程必须确保资产锁定或消费事实与执行层记账之间可验证、可幂等，并避免双花或重复入账。</w:t>
      </w:r>
    </w:p>
    <w:p w14:paraId="7AC683E5">
      <w:pPr>
        <w:ind w:firstLine="482"/>
      </w:pPr>
      <w:r>
        <w:rPr>
          <w:b/>
        </w:rPr>
        <w:t>依赖接口</w:t>
      </w:r>
      <w:r>
        <w:rPr>
          <w:bCs/>
        </w:rPr>
        <w:t>（转账区→执行层）：执行层依赖转账区将转入请求表达为完整签名交易或携带资产锁定/消费证明的可验证消息，并提供来源交易标识、金额、接收方、确认高度及幂等键。对象通过校验并进入共识批次后，执行层才可登记账户侧状态；证明无效、确认不足或重复消费时应明确拒绝。</w:t>
      </w:r>
    </w:p>
    <w:p w14:paraId="06F5B7A6">
      <w:pPr>
        <w:ind w:firstLine="482"/>
        <w:rPr>
          <w:bCs/>
        </w:rPr>
      </w:pPr>
      <w:r>
        <w:rPr>
          <w:b/>
        </w:rPr>
        <w:t>支撑接口</w:t>
      </w:r>
      <w:r>
        <w:rPr>
          <w:bCs/>
        </w:rPr>
        <w:t>（执行层→转账区）：执行层通过系统交易及 UTXO 服务接口回传转出、Gas 扣款或找零请求，并将跨区完成事实写入收据、日志、检查点或可查询证明。转账区和下游分区依据已确认事实继续处理，超时或失败时按业务标识查询和重试，避免依赖本地内存状态或不可审计的外部通知</w:t>
      </w:r>
      <w:r>
        <w:rPr>
          <w:rFonts w:hint="eastAsia"/>
          <w:bCs/>
        </w:rPr>
        <w:t>。</w:t>
      </w:r>
    </w:p>
    <w:p w14:paraId="58F822F8">
      <w:pPr>
        <w:pStyle w:val="3"/>
      </w:pPr>
      <w:bookmarkStart w:id="22" w:name="_Toc235285714"/>
      <w:r>
        <w:rPr>
          <w:rFonts w:hint="eastAsia"/>
        </w:rPr>
        <w:t>跨链区</w:t>
      </w:r>
      <w:bookmarkEnd w:id="22"/>
    </w:p>
    <w:p w14:paraId="3C58F25D">
      <w:pPr>
        <w:ind w:firstLine="480"/>
      </w:pPr>
      <w:r>
        <w:t>跨链区负责连接外部链、跟踪外部确认并生成可验证的外部链事实；执行层负责对这些事实进行证明校验、幂等消费、结果登记和回调输出。两者共同形成“外部事实采集—证明提交—链上验证—结果确认”的闭环。</w:t>
      </w:r>
    </w:p>
    <w:p w14:paraId="3B01D18E">
      <w:pPr>
        <w:ind w:firstLine="482"/>
      </w:pPr>
      <w:r>
        <w:rPr>
          <w:b/>
        </w:rPr>
        <w:t>依赖接口：</w:t>
      </w:r>
      <w:r>
        <w:t>执行层依赖跨链区提供外部链事实、证明材料、检查点、外部确认高度、源链与目标链标识、唯一业务键以及超时/回滚条件。证明未通过、确认深度不足、检查点未知或业务键已消费时，跨链结果只能作为待验证事实保留，不得直接改写账户状态。</w:t>
      </w:r>
    </w:p>
    <w:p w14:paraId="6655C173">
      <w:pPr>
        <w:ind w:firstLine="482"/>
      </w:pPr>
      <w:r>
        <w:rPr>
          <w:b/>
        </w:rPr>
        <w:t>支撑接口：</w:t>
      </w:r>
      <w:r>
        <w:rPr>
          <w:bCs/>
        </w:rPr>
        <w:t>执行层向跨链区提供证明验证结果、状态登记、事件回调和可查询证明能力，将外部链事实转换为链上可验证输入与输出。对于需要原子性的流程，应使用阶段状态、超时边界和补偿动作表达锁定、执行、确认或撤销，避免以单次网络调用假设</w:t>
      </w:r>
      <w:r>
        <w:rPr>
          <w:rFonts w:hint="eastAsia"/>
          <w:bCs/>
        </w:rPr>
        <w:t>满足</w:t>
      </w:r>
      <w:r>
        <w:rPr>
          <w:bCs/>
        </w:rPr>
        <w:t>跨链原子性。</w:t>
      </w:r>
    </w:p>
    <w:p w14:paraId="45ED8882">
      <w:pPr>
        <w:pStyle w:val="3"/>
      </w:pPr>
      <w:bookmarkStart w:id="23" w:name="_Toc235285715"/>
      <w:r>
        <w:rPr>
          <w:rFonts w:hint="eastAsia"/>
        </w:rPr>
        <w:t>交易区</w:t>
      </w:r>
      <w:bookmarkEnd w:id="23"/>
    </w:p>
    <w:p w14:paraId="320B9830">
      <w:pPr>
        <w:ind w:firstLine="480"/>
        <w:rPr>
          <w:bCs/>
        </w:rPr>
      </w:pPr>
      <w:r>
        <w:rPr>
          <w:bCs/>
        </w:rPr>
        <w:t>交易区负责围绕BCI 开展拍卖、报价撮合和成交管理，并承载 Voucher 代金券等交易类业务规则。交易区负责定义拍卖轮次、参与条件、撮合方式、成交规则和 Voucher 使用规则，将业务操作转换为标准化交易请求；执行层不参与链外询价或撮合决策，仅负责对交易请求进行确定性校验、执行和状态登记。BCI 拍卖标的的有效性以 PoT 提供的可验证事实为依据，最终成交和结算结果以执行层已提交区块为准。</w:t>
      </w:r>
    </w:p>
    <w:p w14:paraId="01DA43E1">
      <w:pPr>
        <w:ind w:firstLine="480"/>
        <w:rPr>
          <w:bCs/>
        </w:rPr>
      </w:pPr>
      <w:r>
        <w:rPr>
          <w:bCs/>
        </w:rPr>
        <w:t>依赖接口：执行层依赖交易区提交类型化交易，并提供业务标识</w:t>
      </w:r>
      <w:r>
        <w:rPr>
          <w:rFonts w:hint="eastAsia"/>
          <w:bCs/>
        </w:rPr>
        <w:t>和</w:t>
      </w:r>
      <w:r>
        <w:rPr>
          <w:bCs/>
        </w:rPr>
        <w:t>规则版本</w:t>
      </w:r>
      <w:r>
        <w:rPr>
          <w:rFonts w:hint="eastAsia"/>
          <w:bCs/>
        </w:rPr>
        <w:t>等</w:t>
      </w:r>
      <w:r>
        <w:rPr>
          <w:bCs/>
        </w:rPr>
        <w:t>。BCI 拍卖请求还应携带 BCI 标识、对应的 PoT 确认信息、拍卖轮次、参与方、报价或成交参数及结算条件；Voucher 使用请求应携带代金券标识、授权范围、有效期、可用额度和目标交易。</w:t>
      </w:r>
    </w:p>
    <w:p w14:paraId="255E3D13">
      <w:pPr>
        <w:ind w:firstLine="482"/>
        <w:rPr>
          <w:bCs/>
        </w:rPr>
      </w:pPr>
      <w:r>
        <w:rPr>
          <w:b/>
        </w:rPr>
        <w:t>支撑接口：</w:t>
      </w:r>
      <w:r>
        <w:rPr>
          <w:bCs/>
        </w:rPr>
        <w:t>执行层向交易区提供交易提交、基础预校验、合约调用、资格与余额校验、费用结算、Voucher 抵扣和状态查询等能力，并通过交易收据、事件日志及查询接口返回 BCI 拍卖的受理、成交、失败和结算状态，以及 Voucher 的占用、消费或退回结果。返回结果应关联业务标识、BCI 标识、拍卖轮次、执行区块和确认状态，支持交易区进行幂等重试与结果追踪。Voucher 只能在授权范围、有效期和可用额度内抵扣 Gas；未进入已提交区块的撮合结果、临时通知或链外状态不得作为最终成交依据。</w:t>
      </w:r>
    </w:p>
    <w:p w14:paraId="4BBEF355">
      <w:pPr>
        <w:pStyle w:val="3"/>
      </w:pPr>
      <w:bookmarkStart w:id="24" w:name="_Toc235285716"/>
      <w:r>
        <w:rPr>
          <w:rFonts w:hint="eastAsia"/>
        </w:rPr>
        <w:t>存储区</w:t>
      </w:r>
      <w:bookmarkEnd w:id="24"/>
    </w:p>
    <w:p w14:paraId="276BF4FC">
      <w:pPr>
        <w:ind w:firstLine="480"/>
      </w:pPr>
      <w:r>
        <w:t>存储区负责历史数据和大容量数据的持久化、归档与检索，执行层负责生成可归档的已提交事实，并通过哈希、状态根、收据根或检查点保持数据的完整性与可验证性。存储区不可替代执行层的当前状态数据库。</w:t>
      </w:r>
    </w:p>
    <w:p w14:paraId="73A238D7">
      <w:pPr>
        <w:ind w:firstLine="482"/>
      </w:pPr>
      <w:r>
        <w:rPr>
          <w:b/>
        </w:rPr>
        <w:t>支撑接口：</w:t>
      </w:r>
      <w:r>
        <w:t>执行层向存储区输出区块、收据、日志、检查点、索引结果及必要的数据摘要，作为归档、检索和跨区证明的数据来源。输出对象应携带区块高度、版本、内容哈希和确认状态；新增账户字段、区块头字段和交易类型需保持 RLP 解码兼容，避免历史数据无法解析。</w:t>
      </w:r>
    </w:p>
    <w:p w14:paraId="316B9362">
      <w:pPr>
        <w:ind w:firstLine="482"/>
      </w:pPr>
      <w:r>
        <w:rPr>
          <w:b/>
        </w:rPr>
        <w:t>依赖接口：</w:t>
      </w:r>
      <w:r>
        <w:t>执行层依赖存储区提供历史数据可用性、按标识检索和完整性校验服务。历史数据恢复或证明生成时，执行层必须核对哈希及检查点；任何会影响当前状态的恢复、回放或补录操作，最终仍须通过区块、账户、收据、日志或可查询证明完成，不得绕过主执行链路。</w:t>
      </w:r>
      <w:r>
        <w:rPr>
          <w:rFonts w:hint="eastAsia"/>
        </w:rPr>
        <w:t>（当将存储区作为应用场景时需要）</w:t>
      </w:r>
    </w:p>
    <w:p w14:paraId="536D51F6">
      <w:pPr>
        <w:pStyle w:val="3"/>
      </w:pPr>
      <w:bookmarkStart w:id="25" w:name="_Toc235285717"/>
      <w:r>
        <w:rPr>
          <w:rFonts w:hint="eastAsia"/>
        </w:rPr>
        <w:t>链下计算区</w:t>
      </w:r>
      <w:bookmarkEnd w:id="25"/>
    </w:p>
    <w:p w14:paraId="23EE33A5">
      <w:pPr>
        <w:ind w:firstLine="480"/>
      </w:pPr>
      <w:r>
        <w:t>链下计算区承担链上成本过高或不适合在共识节点重复执行的计算任务。执行层不复现全部计算过程，而是验证任务标识、结果承诺及证明的可用性，并将完成、失败或过期事实登记为可查询的链上结果。</w:t>
      </w:r>
    </w:p>
    <w:p w14:paraId="043FFC4A">
      <w:pPr>
        <w:ind w:firstLine="482"/>
      </w:pPr>
      <w:r>
        <w:rPr>
          <w:b/>
        </w:rPr>
        <w:t>依赖接口：</w:t>
      </w:r>
      <w:r>
        <w:rPr>
          <w:bCs/>
        </w:rPr>
        <w:t>执行层依赖链下计算区提交任务标识、输入承诺、结果承诺、证明材料或验证摘要，并明确算法版本、资源约束和有效期。结果与原任务不匹配、证明无效、版本不受支持或已超时的，不得进入状态转换。</w:t>
      </w:r>
    </w:p>
    <w:p w14:paraId="25C085D2">
      <w:pPr>
        <w:ind w:firstLine="482"/>
      </w:pPr>
      <w:r>
        <w:rPr>
          <w:b/>
        </w:rPr>
        <w:t>支撑接口：</w:t>
      </w:r>
      <w:r>
        <w:rPr>
          <w:bCs/>
        </w:rPr>
        <w:t>执行层通过采用 Data 前缀的系统交易表达链下计算请求，并通过状态或事件日志登记任务受理、结果验证和完成状态；同时向链下计算区及应用层提供按任务标识查询的接口。重复提交必须通过幂等键合并，链下服务中断不得造成部分链上写入。</w:t>
      </w:r>
    </w:p>
    <w:p w14:paraId="7D0A917A">
      <w:pPr>
        <w:pStyle w:val="3"/>
      </w:pPr>
      <w:bookmarkStart w:id="26" w:name="_Toc235285718"/>
      <w:r>
        <w:rPr>
          <w:rFonts w:hint="eastAsia"/>
        </w:rPr>
        <w:t>治理区</w:t>
      </w:r>
      <w:bookmarkEnd w:id="26"/>
    </w:p>
    <w:p w14:paraId="197BE15F">
      <w:pPr>
        <w:ind w:firstLine="480"/>
      </w:pPr>
      <w:r>
        <w:t>治理区负责形成参数调整、算法升级、账户或合约安全等级调整以及系统合约升级等治理决议；执行层负责验证治理授权，并将决议约束到指定高度的确定性状态转换路径中生效。治理区决定变更什么，执行层保证何时、以何种规则一致生效。</w:t>
      </w:r>
    </w:p>
    <w:p w14:paraId="4081AA24">
      <w:pPr>
        <w:ind w:firstLine="482"/>
      </w:pPr>
      <w:r>
        <w:rPr>
          <w:b/>
        </w:rPr>
        <w:t>依赖接口：</w:t>
      </w:r>
      <w:r>
        <w:t>执行层依赖治理区或链下治理执行器提供治理计划与升级授权，计划需绑定目标对象、参数名、参数值、生效高度、授权来源、提案或决议标识、版本和幂等条件。不满足授权、格式、范围或高度约束的请求应在校验阶段失败，不进入 PlanPool。</w:t>
      </w:r>
    </w:p>
    <w:p w14:paraId="4968FC7F">
      <w:pPr>
        <w:ind w:firstLine="482"/>
        <w:rPr>
          <w:b/>
        </w:rPr>
      </w:pPr>
      <w:r>
        <w:rPr>
          <w:b/>
        </w:rPr>
        <w:t>支撑接口：</w:t>
      </w:r>
      <w:r>
        <w:rPr>
          <w:bCs/>
        </w:rPr>
        <w:t>执行层向治理区提供治理计划提交、预校验、状态查询和撤销/替代入口，并输出计划受理、执行、失败及回滚等收据与事件。所有治理结果均应关联决议标识、执行高度和参数版本，便于治理区对照审计</w:t>
      </w:r>
      <w:r>
        <w:rPr>
          <w:rFonts w:hint="eastAsia"/>
          <w:bCs/>
        </w:rPr>
        <w:t>。</w:t>
      </w:r>
    </w:p>
    <w:p w14:paraId="66FAE86A">
      <w:pPr>
        <w:ind w:firstLine="480"/>
      </w:pPr>
      <w:bookmarkStart w:id="27" w:name="OLE_LINK32"/>
      <w:r>
        <w:rPr>
          <w:rFonts w:hint="eastAsia"/>
          <w:bCs/>
        </w:rPr>
        <w:t>（1）执行层通过 PlanPool 接收治理计划，并在目标高度到达时以确定性顺序执行到期计划；同时提供治理参数、计划状态和生效结果的只读查询，以收据和日志记录生效事实。参数计划只影响目标高度及其后的执行，不回写历史区块，所有节点依据同一计划集合获得一致的参数状态。</w:t>
      </w:r>
    </w:p>
    <w:p w14:paraId="42B30CD0">
      <w:pPr>
        <w:ind w:firstLine="480"/>
      </w:pPr>
      <w:r>
        <w:rPr>
          <w:rFonts w:hint="eastAsia"/>
        </w:rPr>
        <w:t>（2）执行层还向治理区提供受控的安全审计管理入口。只有通过治理授权的委员会身份或治理执行器，才能调整合约与 EOA 账户的安全等级；请求须包含目标账户、调整原因、目标等级、授权决议、生效高度和幂等键，并形成可追溯的事件记录。</w:t>
      </w:r>
    </w:p>
    <w:p w14:paraId="503EE9AF">
      <w:pPr>
        <w:ind w:firstLine="480"/>
      </w:pPr>
      <w:r>
        <w:t>（3）安全审计结果可作为系统奖励和质押资格的约束条件。对于经治理认定的问题合约或恶意合约，执行层只按授权决议改变调用、计息、赎回和罚没状态；停止新增收益、限制提前退出或将质押资金划入国库等措施，必须绑定决议标识、生效高度和处理范围，不能由节点本地判定。</w:t>
      </w:r>
    </w:p>
    <w:bookmarkEnd w:id="27"/>
    <w:p w14:paraId="4B9B77D3">
      <w:pPr>
        <w:pStyle w:val="3"/>
      </w:pPr>
      <w:bookmarkStart w:id="28" w:name="_Toc235285719"/>
      <w:r>
        <w:rPr>
          <w:rFonts w:hint="eastAsia"/>
        </w:rPr>
        <w:t>客户端（应用层）</w:t>
      </w:r>
      <w:bookmarkEnd w:id="28"/>
    </w:p>
    <w:p w14:paraId="6C00AA46">
      <w:pPr>
        <w:ind w:firstLine="480"/>
      </w:pPr>
      <w:r>
        <w:t>应用层包括钱包、DApp、治理执行器、区块浏览器和运维工具，负责表达用户意图并提供系统操作入口。应用层可以构造、签名、提交请求并读取结果，但不直接参与共识排序和状态转换，也不能依赖节点未提交的本地状态作业务确认。</w:t>
      </w:r>
    </w:p>
    <w:p w14:paraId="035E5F4A">
      <w:pPr>
        <w:ind w:firstLine="482"/>
      </w:pPr>
      <w:r>
        <w:rPr>
          <w:b/>
        </w:rPr>
        <w:t>依赖接口：</w:t>
      </w:r>
      <w:r>
        <w:t>执行层依赖应用层提交满足格式、链标识、签名、Nonce、账户安全等级、Gas 或替代支付条件的合法请求。应用应提供唯一请求标识并正确处理待打包、已提交、失败和回滚等状态；不满足条件的请求在接入或校验阶段失败，不改变链上状态。</w:t>
      </w:r>
    </w:p>
    <w:p w14:paraId="2A83A0D3">
      <w:pPr>
        <w:ind w:firstLine="482"/>
      </w:pPr>
      <w:r>
        <w:rPr>
          <w:b/>
        </w:rPr>
        <w:t>支撑接口：</w:t>
      </w:r>
      <w:r>
        <w:t>执行层向应用层提供签名交易、合约调用、治理计划和 DApp 质押等提交入口，并提供区块、交易、收据、日志、账户状态、质押信息、治理参数、安全等级、区块头扩展字段及跨区结果等只读查询。查询响应应携带区块高度、确认状态和标准错误码，便于客户端安全重试与结果追踪。</w:t>
      </w:r>
    </w:p>
    <w:p w14:paraId="3E808C0D">
      <w:pPr>
        <w:pStyle w:val="2"/>
      </w:pPr>
      <w:bookmarkStart w:id="29" w:name="_Toc235285720"/>
      <w:r>
        <w:rPr>
          <w:rFonts w:hint="eastAsia"/>
        </w:rPr>
        <w:t>执行层模块体系</w:t>
      </w:r>
      <w:bookmarkEnd w:id="29"/>
    </w:p>
    <w:p w14:paraId="7B8D52A1">
      <w:pPr>
        <w:ind w:firstLine="480"/>
      </w:pPr>
      <w:r>
        <w:t>第五章承接第三章的总体框架和第四章的子系统交互关系，按照执行层在主执行链路中的职责落点划分模块。模块分类不是系统分区，也不是运行时进程边界，而是用于说明不同能力在执行层内部如何被接入、执行、存储、治理、结算、协同、验证和查询。</w:t>
      </w:r>
    </w:p>
    <w:p w14:paraId="55788272">
      <w:pPr>
        <w:pStyle w:val="3"/>
      </w:pPr>
      <w:bookmarkStart w:id="30" w:name="_Toc235285721"/>
      <w:r>
        <w:rPr>
          <w:rFonts w:hint="eastAsia"/>
        </w:rPr>
        <w:t>交易接入类</w:t>
      </w:r>
      <w:bookmarkEnd w:id="30"/>
    </w:p>
    <w:p w14:paraId="7AB64391">
      <w:pPr>
        <w:ind w:firstLine="480"/>
      </w:pPr>
      <w:r>
        <w:t>设计上，</w:t>
      </w:r>
      <w:r>
        <w:rPr>
          <w:b/>
          <w:bCs/>
        </w:rPr>
        <w:t>执行层不允许任何外部请求直接触碰状态</w:t>
      </w:r>
      <w:r>
        <w:t>，因此需要一层专门的接入能力，把钱包、DApp、治理工具和外部服务的请求统一转换为候选对象</w:t>
      </w:r>
      <w:r>
        <w:rPr>
          <w:rFonts w:hint="eastAsia"/>
        </w:rPr>
        <w:t>。</w:t>
      </w:r>
      <w:r>
        <w:t>只有经过接入、排序、执行三步才可能变成状态。这既解耦了“谁提交”与“执行什么”，也是确定性的第一道闸门。同时，执行层支持 typed transaction 与 Data 前缀系统交易等非标准语义，需要在入口处统一表达这些扩展交易类型。</w:t>
      </w:r>
    </w:p>
    <w:p w14:paraId="607AD0D1">
      <w:pPr>
        <w:pStyle w:val="5"/>
      </w:pPr>
      <w:bookmarkStart w:id="31" w:name="_Toc235285722"/>
      <w:r>
        <w:rPr>
          <w:rFonts w:hint="eastAsia"/>
        </w:rPr>
        <w:t>接入服务模块</w:t>
      </w:r>
      <w:bookmarkEnd w:id="31"/>
    </w:p>
    <w:p w14:paraId="624C9C75">
      <w:pPr>
        <w:ind w:firstLine="480"/>
      </w:pPr>
      <w:r>
        <w:rPr>
          <w:rFonts w:hint="eastAsia"/>
        </w:rPr>
        <w:t>接入服务模块负责接收钱包、DApp、治理工具和外部服务通过 RPC/gRPC 提交的请求。模块完成协议解析、链与版本识别、基础参数规范化、签名和大小预检查、限流与提交路径选择，输出进入 txpool、PlanPool 或相应只读/证明服务的候选对象。候选对象未被共识提交前不修改链上状态；重复请求通过交易哈希或幂等键识别。</w:t>
      </w:r>
    </w:p>
    <w:p w14:paraId="1CDAA891">
      <w:pPr>
        <w:pStyle w:val="5"/>
      </w:pPr>
      <w:bookmarkStart w:id="32" w:name="_Toc235285723"/>
      <w:r>
        <w:t>交易</w:t>
      </w:r>
      <w:r>
        <w:rPr>
          <w:rFonts w:hint="eastAsia"/>
        </w:rPr>
        <w:t>类型模</w:t>
      </w:r>
      <w:r>
        <w:t>块</w:t>
      </w:r>
      <w:bookmarkEnd w:id="32"/>
    </w:p>
    <w:p w14:paraId="08897B7F">
      <w:pPr>
        <w:ind w:firstLine="480"/>
      </w:pPr>
      <w:r>
        <w:t>交易类型模块定义执行层可处理的交易对象、编码方式和系统语义。普通交易保持以太坊兼容语义；扩展能力通过类型化交易承载 PoW、动态密码、合约质押、合约运维结算和嵌套执行；采用 Data 前缀的系统交易承载账户锁定、UTXO 协同、利息结存、质押退出或处置、奖励核验、链下计算请求及 Voucher 支付。</w:t>
      </w:r>
    </w:p>
    <w:p w14:paraId="399144A7">
      <w:pPr>
        <w:pStyle w:val="3"/>
      </w:pPr>
      <w:bookmarkStart w:id="33" w:name="_Toc235285724"/>
      <w:r>
        <w:rPr>
          <w:rFonts w:hint="eastAsia"/>
        </w:rPr>
        <w:t>交易执行类</w:t>
      </w:r>
      <w:bookmarkEnd w:id="33"/>
    </w:p>
    <w:p w14:paraId="4E0009FF">
      <w:pPr>
        <w:ind w:firstLine="480"/>
      </w:pPr>
      <w:r>
        <w:rPr>
          <w:rFonts w:hint="eastAsia"/>
        </w:rPr>
        <w:t>执行层的基础功能定位为智能合约的高效交互。这里的高效包含两个层面，一个是交易整体的执行生命周期短，这需要快速的共识交互方式。另一个是内部执行的高效，这需要内部的各种交易执行加速机制。但是共</w:t>
      </w:r>
      <w:r>
        <w:t>识与执行分离决定了排序之后的一切都由执行层负责，交易执行类</w:t>
      </w:r>
      <w:r>
        <w:rPr>
          <w:rFonts w:hint="eastAsia"/>
        </w:rPr>
        <w:t>的相关模块保证了执行层对于交易的确定性执行，具体来说就是同</w:t>
      </w:r>
      <w:r>
        <w:t>一批次</w:t>
      </w:r>
      <w:r>
        <w:rPr>
          <w:rFonts w:hint="eastAsia"/>
        </w:rPr>
        <w:t>的交易</w:t>
      </w:r>
      <w:r>
        <w:t>必须在所有节点上得到同一结果。</w:t>
      </w:r>
    </w:p>
    <w:p w14:paraId="2996D1A6">
      <w:pPr>
        <w:pStyle w:val="5"/>
      </w:pPr>
      <w:bookmarkStart w:id="34" w:name="_Toc235285725"/>
      <w:r>
        <w:rPr>
          <w:rFonts w:hint="eastAsia"/>
        </w:rPr>
        <w:t>共识交互模块</w:t>
      </w:r>
      <w:bookmarkEnd w:id="34"/>
    </w:p>
    <w:p w14:paraId="45949665">
      <w:pPr>
        <w:ind w:firstLine="480"/>
      </w:pPr>
      <w:r>
        <w:t>共识交互模块负责执行层与委员会共识、PoT 基础链之间的双向协作。面向委员会侧，模块提交通过基础校验的候选交易，提供 VerifyTx</w:t>
      </w:r>
      <w:r>
        <w:rPr>
          <w:rFonts w:hint="eastAsia"/>
        </w:rPr>
        <w:t>（具体功能）</w:t>
      </w:r>
      <w:r>
        <w:t>，并通过 CommitBlock/ExecBlock 接收携带分区名称、共识编号和证明的已定序批次；模块完成证明绑定、父块上下文、重复提交和异常批次校验后，才把批次交给执行器。该边界只确认可执行顺序，不把委员会提交状态等同于 PoT 全局确认。</w:t>
      </w:r>
    </w:p>
    <w:p w14:paraId="2CF8B8C1">
      <w:pPr>
        <w:ind w:firstLine="480"/>
      </w:pPr>
      <w:r>
        <w:t>面向 PoT 侧，模块提供 PoTExecutor 服务，按高度区间输出已落盘执行区块、执行头、交易摘要、跨链检查点和激励信息，并支持交易与激励结果核验以及受控交易接入。模块维护执行游标、备案游标和 PoT 确认状态，保证区间连续、请求幂等、重组可恢复，并向查询层明确暴露候选、已定序、已执行和已备案/全局确认四类状态。</w:t>
      </w:r>
    </w:p>
    <w:p w14:paraId="42AAD2F6">
      <w:pPr>
        <w:pStyle w:val="5"/>
      </w:pPr>
      <w:bookmarkStart w:id="35" w:name="_Toc235285726"/>
      <w:r>
        <w:rPr>
          <w:rFonts w:hint="eastAsia"/>
        </w:rPr>
        <w:t>批次执行模块</w:t>
      </w:r>
      <w:bookmarkEnd w:id="35"/>
    </w:p>
    <w:p w14:paraId="6887FB91">
      <w:pPr>
        <w:ind w:firstLine="480"/>
      </w:pPr>
      <w:r>
        <w:t>批次执行模块接收共识提交的 ExecBlock，校验批次标识、父区块和必要上下文后，根据时间戳、领导者、随机数及激励数据构造执行环境。随后按共识顺序处理交易，为每笔交易生成收据和日志，汇总状态根与收据根并组装区块。若批次级前置条件不满足，应整体拒绝；单笔交易执行失败则按交易语义回滚其状态并保留失败收据。</w:t>
      </w:r>
    </w:p>
    <w:p w14:paraId="2C8CBA54">
      <w:pPr>
        <w:pStyle w:val="5"/>
      </w:pPr>
      <w:bookmarkStart w:id="36" w:name="_Toc235285727"/>
      <w:r>
        <w:t>并发调度模块</w:t>
      </w:r>
      <w:bookmarkEnd w:id="36"/>
    </w:p>
    <w:p w14:paraId="396CFD76">
      <w:pPr>
        <w:ind w:firstLine="480"/>
      </w:pPr>
      <w:r>
        <w:rPr>
          <w:rFonts w:hint="eastAsia"/>
        </w:rPr>
        <w:t>并发调度模块负责交易级调度、读写集识别、冲突检测和确定性提交顺序。当前主路径采用共识排序后的确定性执行；并发调度进入生产主路径前，必须明确预执行与提交阶段、冲突判定规则、冲突重试顺序、异常回滚、状态合并和收据排序，并通过串行等价性测试证明结果不随线程时序变化。</w:t>
      </w:r>
    </w:p>
    <w:p w14:paraId="65685E08">
      <w:pPr>
        <w:pStyle w:val="5"/>
      </w:pPr>
      <w:bookmarkStart w:id="37" w:name="_Toc235285728"/>
      <w:r>
        <w:rPr>
          <w:rFonts w:hint="eastAsia"/>
        </w:rPr>
        <w:t>并行执行模块</w:t>
      </w:r>
      <w:bookmarkEnd w:id="37"/>
    </w:p>
    <w:p w14:paraId="302FCF1D">
      <w:pPr>
        <w:ind w:firstLine="480"/>
      </w:pPr>
      <w:r>
        <w:t>并行执行模块负责事务内部、虚拟机计算及状态访问等细粒度并行能力的输入输出边界。并行任务必须使用确定的拆分与归并规则，记录必要的状态访问与错误信息，并最终回到可复现的提交顺序、收据日志和状态更新。资源竞争、超时或子任务失败不得留下部分写入；隔离和回滚规则未闭合前，不改变串行主路径结果。</w:t>
      </w:r>
    </w:p>
    <w:p w14:paraId="4A468522">
      <w:pPr>
        <w:pStyle w:val="5"/>
      </w:pPr>
      <w:bookmarkStart w:id="38" w:name="_Toc235285729"/>
      <w:r>
        <w:t>状态</w:t>
      </w:r>
      <w:r>
        <w:rPr>
          <w:rFonts w:hint="eastAsia"/>
        </w:rPr>
        <w:t>更新</w:t>
      </w:r>
      <w:r>
        <w:t>模块</w:t>
      </w:r>
      <w:bookmarkEnd w:id="38"/>
    </w:p>
    <w:p w14:paraId="17AD0CC8">
      <w:pPr>
        <w:ind w:firstLine="480"/>
      </w:pPr>
      <w:r>
        <w:rPr>
          <w:rFonts w:hint="eastAsia"/>
        </w:rPr>
        <w:t>状态更新模块是执行一致性要求最高的组件。它以交易、当前账户状态、区块上下文和执行参数为输入，完成 Gas 预扣与结算、Nonce 更新、账户安全等级检查、系统交易分派、后量子计数更新、利息结存、质押关系与合约运行状态更新、合约收益统计、日志与收据生成。所有写操作应在可回滚的状态快照中执行，成功后统一提交，失败时恢复到交易前状态。</w:t>
      </w:r>
    </w:p>
    <w:p w14:paraId="7B0D73BF">
      <w:pPr>
        <w:ind w:firstLine="480"/>
      </w:pPr>
      <w:r>
        <w:rPr>
          <w:rFonts w:hint="eastAsia"/>
        </w:rPr>
        <w:t>除以太坊原生状态外，本模块</w:t>
      </w:r>
      <w:r>
        <w:rPr>
          <w:rFonts w:hint="eastAsia"/>
          <w:b/>
          <w:bCs/>
        </w:rPr>
        <w:t>新增的统计项</w:t>
      </w:r>
      <w:r>
        <w:rPr>
          <w:rFonts w:hint="eastAsia"/>
        </w:rPr>
        <w:t>主要包括合约历史调用次数、累计 Gas 消耗、资金流入流出与留存、质押规模、交易价值或收益相关统计及后量子计数等。上述统计只作为可验证的奖励与治理依据，不在执行节点本地直接推导任意奖励结果。每项统计须明确更新时点、成功/失败交易是否计入、内部调用归属、溢出与上限处理、历史默认值和查询口径，避免不同节点或上层系统产生指标歧义。</w:t>
      </w:r>
    </w:p>
    <w:p w14:paraId="57C1C8C0">
      <w:pPr>
        <w:pStyle w:val="5"/>
      </w:pPr>
      <w:bookmarkStart w:id="39" w:name="_Toc235285730"/>
      <w:r>
        <w:rPr>
          <w:rFonts w:hint="eastAsia"/>
        </w:rPr>
        <w:t>虚拟机管理模块</w:t>
      </w:r>
      <w:bookmarkEnd w:id="39"/>
    </w:p>
    <w:p w14:paraId="4401D296">
      <w:pPr>
        <w:ind w:firstLine="480"/>
      </w:pPr>
      <w:r>
        <w:t>虚拟机管理模块保留 EVM 兼容能力，使现有智能合约及工具链能够迁移到执行层，并统一负责虚拟机选择、版本匹配、执行上下文、资源计量和异常映射。UltraVM、确定性并发和专用执行器属于演进范围；在输入输出、Gas/资源计量、隔离与回滚规则闭合前，只保留能力接口，不得将未验证结果写入区块状态。</w:t>
      </w:r>
    </w:p>
    <w:p w14:paraId="14F8ABAC">
      <w:pPr>
        <w:ind w:firstLine="480"/>
      </w:pPr>
      <w:r>
        <w:rPr>
          <w:rFonts w:hint="eastAsia"/>
        </w:rPr>
        <w:t>VMStudio 作为多虚拟机管理与研发支撑组件，负责虚拟机注册、版本管理、能力声明、测试验证和治理启停。生产执行时，虚拟机选择必须由链上参数或治理计划确定，并绑定代码哈希与生效高度；节点本地配置不得自行切换虚拟机。不同虚拟机之间应统一输入输出、错误码和资源计量接口，并通过确定性测试与回归测试后方可启用。</w:t>
      </w:r>
    </w:p>
    <w:p w14:paraId="365BD28A">
      <w:pPr>
        <w:pStyle w:val="3"/>
      </w:pPr>
      <w:bookmarkStart w:id="40" w:name="_Toc235285731"/>
      <w:r>
        <w:rPr>
          <w:rFonts w:hint="eastAsia"/>
        </w:rPr>
        <w:t>数据状态类</w:t>
      </w:r>
      <w:bookmarkEnd w:id="40"/>
    </w:p>
    <w:p w14:paraId="20991D3D">
      <w:pPr>
        <w:ind w:firstLine="480"/>
      </w:pPr>
      <w:r>
        <w:t>执行层</w:t>
      </w:r>
      <w:r>
        <w:rPr>
          <w:rFonts w:hint="eastAsia"/>
        </w:rPr>
        <w:t>执行的最终结果都会落盘为一个具体的系统状态，因此需要一个功能完备的状</w:t>
      </w:r>
      <w:r>
        <w:t>态模型上。相比以太坊，执行层在账户和区块模型上扩展了安全等级、后量子计数和跨区索引等字段，因此需要一类专门的数据状态能力：一方面定义这些事实载体，另一方面保持 RLP 解码兼容以免破坏历史数据。它是其他所有能力共同写入的底层基座。</w:t>
      </w:r>
    </w:p>
    <w:p w14:paraId="07D8C57F">
      <w:pPr>
        <w:pStyle w:val="5"/>
      </w:pPr>
      <w:bookmarkStart w:id="41" w:name="_Toc235285732"/>
      <w:r>
        <w:rPr>
          <w:rFonts w:hint="eastAsia"/>
        </w:rPr>
        <w:t>数据对象模块</w:t>
      </w:r>
      <w:bookmarkEnd w:id="41"/>
    </w:p>
    <w:p w14:paraId="7E6F580C">
      <w:pPr>
        <w:ind w:firstLine="480"/>
      </w:pPr>
      <w:r>
        <w:rPr>
          <w:rFonts w:hint="eastAsia"/>
        </w:rPr>
        <w:t>数据对象模块定义执行层核心事实载体，包括交易、区块、账户、收据、日志和参数计划。区块记录交易集合、执行上下文与状态检查点；账户承载余额、Nonce、代码、存储及扩展业务状态；收据和日志表达交易结果、错误状态和跨区可验证事实。基础字段</w:t>
      </w:r>
      <w:r>
        <w:rPr>
          <w:rFonts w:hint="eastAsia"/>
          <w:b/>
          <w:bCs/>
        </w:rPr>
        <w:t>尽量沿用以太坊语义</w:t>
      </w:r>
      <w:r>
        <w:rPr>
          <w:rFonts w:hint="eastAsia"/>
        </w:rPr>
        <w:t>，扩展字段采用明确版本和编码规则，避免同名字段产生不同解释</w:t>
      </w:r>
    </w:p>
    <w:p w14:paraId="221D432C">
      <w:pPr>
        <w:pStyle w:val="5"/>
      </w:pPr>
      <w:bookmarkStart w:id="42" w:name="_Toc235285733"/>
      <w:r>
        <w:rPr>
          <w:rFonts w:hint="eastAsia"/>
        </w:rPr>
        <w:t>状态存储模块</w:t>
      </w:r>
      <w:bookmarkEnd w:id="42"/>
    </w:p>
    <w:p w14:paraId="3D95D748">
      <w:pPr>
        <w:ind w:firstLine="480"/>
      </w:pPr>
      <w:r>
        <w:t>状态存储模块兼顾执行效率、原子性和历史兼容。新增账户字段、区块头字段和交易类型应保持 RLP 解码兼容，并通过默认值或版本位区分历史对象。跨区调用、治理计划和算法升级一旦影响状态，最终必须写入区块、账户、收据、日志或可查询证明。模块还需支持交易级快照与回滚、区块级提交、状态根计算、历史读取和异常恢复。</w:t>
      </w:r>
    </w:p>
    <w:p w14:paraId="3870BBD9">
      <w:pPr>
        <w:ind w:firstLine="480"/>
      </w:pPr>
      <w:r>
        <w:t>相较以太坊，执行层新增状态目前重点包括以下五类。各字段在详细设计阶段</w:t>
      </w:r>
      <w:r>
        <w:rPr>
          <w:rFonts w:hint="eastAsia"/>
        </w:rPr>
        <w:t>将</w:t>
      </w:r>
      <w:r>
        <w:t>补充数据类型、编码顺序、默认值、更新触发点、上限和 RPC 暴露方式。</w:t>
      </w:r>
    </w:p>
    <w:p w14:paraId="57E353BD">
      <w:pPr>
        <w:ind w:firstLine="480"/>
      </w:pPr>
      <w:r>
        <w:rPr>
          <w:rFonts w:hint="eastAsia"/>
        </w:rPr>
        <w:t>（1）账户字段—安全等级：用于表示 EOA 或合约账户通过治理审计后的风险与信任级别。字段只能由受权治理流程调整，并记录原等级、目标等级、决议标识和生效高度；交易校验与账户锁定策略可依据该等级执行。</w:t>
      </w:r>
    </w:p>
    <w:p w14:paraId="471066AE">
      <w:pPr>
        <w:ind w:firstLine="480"/>
      </w:pPr>
      <w:r>
        <w:rPr>
          <w:rFonts w:hint="eastAsia"/>
        </w:rPr>
        <w:t>（2）账户字段—合约历史调用次数：用于统计合约成功执行的调用次数，为质押收益、活跃度分析和运行监控提供基础。是否计入内部调用、失败调用及系统调用必须采用统一口径，并在状态转换完成时原子更新。</w:t>
      </w:r>
    </w:p>
    <w:p w14:paraId="5B400610">
      <w:pPr>
        <w:ind w:firstLine="480"/>
      </w:pPr>
      <w:r>
        <w:rPr>
          <w:rFonts w:hint="eastAsia"/>
        </w:rPr>
        <w:t>（3）账户字段—合约累计 Gas 消耗：用于记录合约调用产生的累计 Gas，为成本分析、收益分配和治理调参提供依据。统计应明确原始 Gas、实际支付 Gas 与 Voucher/虚拟利息抵扣后的口径，采用防溢出的定长整数，并与收据中的单笔数据可核对。</w:t>
      </w:r>
    </w:p>
    <w:p w14:paraId="42358062">
      <w:pPr>
        <w:ind w:firstLine="480"/>
      </w:pPr>
      <w:r>
        <w:t>（4）账户字段——经济分账与质押关系：用于分别记录本金、活期利息、定期利息，以及质押金额、锁定期限、上次结存高度、规则版本和领取状态。三类价值不得在未形成明确结算事件时相互混同，转账、费用支付、追加质押、年度结算、到期和退出均通过统一状态转移更新。</w:t>
      </w:r>
    </w:p>
    <w:p w14:paraId="060F5247">
      <w:pPr>
        <w:ind w:firstLine="480"/>
      </w:pPr>
      <w:r>
        <w:t>（5）合约字段——运维与激励状态：用于记录部署人、投资人、受益人、质押及运维费用余额、合约业务类型、运行状态、结算周期和奖励确认状态。合约的正常、冻结、失效与可重新激活等状态应由链上事件和治理结果驱动，并与调用许可、收益累计及质押处置保持一致</w:t>
      </w:r>
    </w:p>
    <w:p w14:paraId="6DAF968F">
      <w:pPr>
        <w:pStyle w:val="3"/>
      </w:pPr>
      <w:bookmarkStart w:id="43" w:name="_Toc235285738"/>
      <w:r>
        <w:rPr>
          <w:rFonts w:hint="eastAsia"/>
        </w:rPr>
        <w:t>经济调控类</w:t>
      </w:r>
      <w:bookmarkEnd w:id="43"/>
    </w:p>
    <w:p w14:paraId="042FEB7B">
      <w:pPr>
        <w:ind w:firstLine="480"/>
      </w:pPr>
      <w:r>
        <w:t>执行层是</w:t>
      </w:r>
      <w:r>
        <w:rPr>
          <w:rFonts w:hint="eastAsia"/>
        </w:rPr>
        <w:t>系统中价值转换最频繁的地方。G</w:t>
      </w:r>
      <w:r>
        <w:t>as、激励、质押收益都必须在确定性路径上计算，才能让所有节点对费用、奖励和收益</w:t>
      </w:r>
      <w:r>
        <w:rPr>
          <w:rFonts w:hint="eastAsia"/>
        </w:rPr>
        <w:t>的统计</w:t>
      </w:r>
      <w:r>
        <w:t>达成一致。</w:t>
      </w:r>
      <w:r>
        <w:rPr>
          <w:rFonts w:hint="eastAsia"/>
          <w:b/>
          <w:bCs/>
        </w:rPr>
        <w:t>同时</w:t>
      </w:r>
      <w:r>
        <w:rPr>
          <w:b/>
          <w:bCs/>
        </w:rPr>
        <w:t>经济结算类还承担降低</w:t>
      </w:r>
      <w:r>
        <w:rPr>
          <w:rFonts w:hint="eastAsia"/>
          <w:b/>
          <w:bCs/>
        </w:rPr>
        <w:t>用户</w:t>
      </w:r>
      <w:r>
        <w:rPr>
          <w:b/>
          <w:bCs/>
        </w:rPr>
        <w:t>进入</w:t>
      </w:r>
      <w:r>
        <w:rPr>
          <w:rFonts w:hint="eastAsia"/>
          <w:b/>
          <w:bCs/>
        </w:rPr>
        <w:t>系统</w:t>
      </w:r>
      <w:r>
        <w:rPr>
          <w:b/>
          <w:bCs/>
        </w:rPr>
        <w:t>门槛的职责</w:t>
      </w:r>
      <w:r>
        <w:t>（动态 PoW、虚拟利息、Voucher 等替代支付），并把合约部署与链上经济关系连接起来（质押生息）。把经济逻辑</w:t>
      </w:r>
      <w:r>
        <w:rPr>
          <w:rFonts w:hint="eastAsia"/>
        </w:rPr>
        <w:t>的计算</w:t>
      </w:r>
      <w:r>
        <w:t>放在执行层</w:t>
      </w:r>
      <w:r>
        <w:rPr>
          <w:rFonts w:hint="eastAsia"/>
        </w:rPr>
        <w:t>，并最终由PoT进行归一化，</w:t>
      </w:r>
      <w:r>
        <w:t>才能保证每一次价值</w:t>
      </w:r>
      <w:r>
        <w:rPr>
          <w:rFonts w:hint="eastAsia"/>
        </w:rPr>
        <w:t>转换</w:t>
      </w:r>
      <w:r>
        <w:t>都是可验证的状态转换事件，而不是链外的记账旁路。</w:t>
      </w:r>
    </w:p>
    <w:p w14:paraId="3D698701">
      <w:pPr>
        <w:pStyle w:val="5"/>
      </w:pPr>
      <w:bookmarkStart w:id="44" w:name="_Toc235285739"/>
      <w:r>
        <w:rPr>
          <w:rFonts w:hint="eastAsia"/>
        </w:rPr>
        <w:t>经济激励模块</w:t>
      </w:r>
      <w:bookmarkEnd w:id="44"/>
    </w:p>
    <w:p w14:paraId="146D097B">
      <w:pPr>
        <w:ind w:firstLine="480"/>
      </w:pPr>
      <w:r>
        <w:t>经济激励模块统一处理交易费用、PoT 区块与委员会激励、跨区贡献、合约运维收益、质押收益以及治理调整后的奖励规则。总体奖励来源可抽象为基础供应、浮动奖励额度和国库调节三类约束；执行层不依据节点本地配置决定宏观发行量，而是按链上参数记录奖励类别、结算周期、资产类型、受益方、计算依据、金额、规则版本、额度占用和安全资格，并通过 Coinbase 系统合约或标准化激励入口生成可验证记录。PoT 对记录进行核验、备案和最终确认，金额精度、舍入、额度不足及回滚规则在详细设计中</w:t>
      </w:r>
      <w:r>
        <w:rPr>
          <w:rFonts w:hint="eastAsia"/>
        </w:rPr>
        <w:t>完成</w:t>
      </w:r>
      <w:r>
        <w:t>。</w:t>
      </w:r>
    </w:p>
    <w:p w14:paraId="36117E8A">
      <w:pPr>
        <w:pStyle w:val="5"/>
      </w:pPr>
      <w:bookmarkStart w:id="45" w:name="_Toc235285740"/>
      <w:r>
        <w:rPr>
          <w:rFonts w:hint="eastAsia"/>
        </w:rPr>
        <w:t>成本调节模块</w:t>
      </w:r>
      <w:bookmarkEnd w:id="45"/>
    </w:p>
    <w:p w14:paraId="58303937">
      <w:pPr>
        <w:ind w:firstLine="480"/>
      </w:pPr>
      <w:r>
        <w:t>成本调节模块提供三类 Gas 支付机制，以不同方式降低用户进入系统的门槛：动态 PoW 允许用户通过满足难度要求的计算证明抵扣部分或全部 Gas；虚拟活期利息可用于支付 Gas、系统级服务费和经治理授权的限期应用服务费；Voucher 由授权业务区或合约发行，并按适用范围、额度和有效期抵扣 Gas。支付时优先消费符合条件的利息或代金券，余额不足时再按规则使用本金。三类机制均需在交易执行前完成资格和额度校验，在执行后按实际消耗结算，并防止重复使用、超额抵扣和跨业务滥用。</w:t>
      </w:r>
    </w:p>
    <w:p w14:paraId="4D0FDEF4">
      <w:pPr>
        <w:ind w:firstLine="480"/>
      </w:pPr>
      <w:r>
        <w:t>虚拟利息采用“本金、活期利息、定期利息”分账模型。符合条件的普通账户和合约账户可累计活期利息，国库账户不计息；只有系统支持的质押或主动锁定产生定期利息。活期利息原则上不作为可自由提现本金，定期利息则在满足结算条件后转化为 BCI 奖励事实。不同资产类型的适用范围和转化方向由链上规则限定。</w:t>
      </w:r>
    </w:p>
    <w:p w14:paraId="74E906A9">
      <w:pPr>
        <w:ind w:firstLine="480"/>
      </w:pPr>
      <w:r>
        <w:t>利息采用事件驱动结存：转账、费用支付、质押或追加质押、年度结算、到期续期和退出等动作触发本次结算，并记录上次结存高度、适用利率版本和结果。利率档位、计息上限、锁定期限、转账时的利息结转比例以及年度调节方式均作为治理参数管理，概要设计不展开具体数值和公式</w:t>
      </w:r>
      <w:r>
        <w:rPr>
          <w:rFonts w:hint="eastAsia"/>
        </w:rPr>
        <w:t>。</w:t>
      </w:r>
    </w:p>
    <w:p w14:paraId="2AB1814C">
      <w:pPr>
        <w:pStyle w:val="5"/>
      </w:pPr>
      <w:bookmarkStart w:id="46" w:name="_Toc235285741"/>
      <w:r>
        <w:rPr>
          <w:rFonts w:hint="eastAsia"/>
        </w:rPr>
        <w:t>合约背书模块</w:t>
      </w:r>
      <w:bookmarkEnd w:id="46"/>
    </w:p>
    <w:p w14:paraId="76BA1CD8">
      <w:pPr>
        <w:ind w:left="420" w:firstLine="60" w:firstLineChars="25"/>
      </w:pPr>
      <w:r>
        <w:rPr>
          <w:rFonts w:hint="eastAsia"/>
        </w:rPr>
        <w:t>执行层提供统一的合约DApp质押入口。合约质押模块分为两部分。</w:t>
      </w:r>
    </w:p>
    <w:p w14:paraId="5CF17B4F">
      <w:pPr>
        <w:ind w:firstLine="420" w:firstLineChars="0"/>
      </w:pPr>
      <w:r>
        <w:rPr>
          <w:rFonts w:hint="eastAsia"/>
        </w:rPr>
        <w:t>（1）</w:t>
      </w:r>
      <w:r>
        <w:t>质押利息</w:t>
      </w:r>
      <w:r>
        <w:rPr>
          <w:rFonts w:hint="eastAsia"/>
        </w:rPr>
        <w:t>：</w:t>
      </w:r>
      <w:r>
        <w:t>把合约部署、合约维护和链上经济关系连接起来。合约部署交易登记部署人、投资人、受益人、质押金额和期限；执行层根据质押状态和利率参数计算收益，并在合约调用、追加质押、到期赎回和年费领取时更新账户状态。</w:t>
      </w:r>
    </w:p>
    <w:p w14:paraId="656EE46A">
      <w:pPr>
        <w:ind w:firstLine="420" w:firstLineChars="0"/>
        <w:rPr>
          <w:rFonts w:hint="eastAsia"/>
        </w:rPr>
      </w:pPr>
      <w:r>
        <w:rPr>
          <w:rFonts w:hint="eastAsia"/>
        </w:rPr>
        <w:t>（2）</w:t>
      </w:r>
      <w:r>
        <w:t>合约收益</w:t>
      </w:r>
      <w:r>
        <w:rPr>
          <w:rFonts w:hint="eastAsia"/>
        </w:rPr>
        <w:t>：</w:t>
      </w:r>
      <w:r>
        <w:t>处理多投资人和多受益人的收益分配。合约调用产生的 Gas、调用次数和交易价值应写入合约账户的统计状态，收益分配比例和最大投资额等约束通过状态转移规则执行。</w:t>
      </w:r>
    </w:p>
    <w:p w14:paraId="318CD3A7">
      <w:pPr>
        <w:pStyle w:val="3"/>
      </w:pPr>
      <w:bookmarkStart w:id="47" w:name="_Toc235285742"/>
      <w:r>
        <w:t>跨域协同类</w:t>
      </w:r>
      <w:bookmarkEnd w:id="47"/>
    </w:p>
    <w:p w14:paraId="02A0814B">
      <w:pPr>
        <w:ind w:firstLine="480"/>
      </w:pPr>
      <w:r>
        <w:rPr>
          <w:rFonts w:hint="eastAsia"/>
        </w:rPr>
        <w:t>我们在设计上规定来</w:t>
      </w:r>
      <w:r>
        <w:t>自 UTXO 转账区</w:t>
      </w:r>
      <w:r>
        <w:rPr>
          <w:rFonts w:hint="eastAsia"/>
        </w:rPr>
        <w:t>、</w:t>
      </w:r>
      <w:r>
        <w:t>其他业务区或外部链</w:t>
      </w:r>
      <w:r>
        <w:rPr>
          <w:rFonts w:hint="eastAsia"/>
        </w:rPr>
        <w:t>的外部事实</w:t>
      </w:r>
      <w:r>
        <w:t>绝不能直接改写执行层状态，否则会破坏</w:t>
      </w:r>
      <w:r>
        <w:rPr>
          <w:rFonts w:hint="eastAsia"/>
        </w:rPr>
        <w:t>执行层自身的</w:t>
      </w:r>
      <w:r>
        <w:t>状态语义。跨域协同类的存在，正是为了在证明、幂等和回滚等约束下，把外部事实转换为收据、日志、检查点或状态证明这类可验证载体后再进入确定性路径。它是让系统能够跨区、跨链扩展而不丢失统一状态语义的受控边界。</w:t>
      </w:r>
    </w:p>
    <w:p w14:paraId="628CC2A1">
      <w:pPr>
        <w:pStyle w:val="5"/>
      </w:pPr>
      <w:bookmarkStart w:id="48" w:name="_Toc235285743"/>
      <w:r>
        <w:t>跨区协同模块</w:t>
      </w:r>
      <w:bookmarkEnd w:id="48"/>
    </w:p>
    <w:p w14:paraId="4D139705">
      <w:pPr>
        <w:ind w:firstLine="480"/>
      </w:pPr>
      <w:r>
        <w:t>跨区协同模块负责执行层与 UTXO 转账区、PoT、BCI/DCI 和系统内其他业务区之间的边界交互。UTXO 区到执行层的转入请求形成完整签名交易并进入 txpool；执行层到 UTXO 区的转出或找零通过系统交易和服务接口表达。</w:t>
      </w:r>
    </w:p>
    <w:p w14:paraId="03958751">
      <w:pPr>
        <w:pStyle w:val="5"/>
      </w:pPr>
      <w:bookmarkStart w:id="49" w:name="_Toc235285744"/>
      <w:r>
        <w:t>跨链协同模块</w:t>
      </w:r>
      <w:bookmarkEnd w:id="49"/>
    </w:p>
    <w:p w14:paraId="1177554F">
      <w:pPr>
        <w:ind w:firstLine="480"/>
        <w:rPr>
          <w:rFonts w:hint="eastAsia"/>
        </w:rPr>
      </w:pPr>
      <w:r>
        <w:rPr>
          <w:rFonts w:hint="eastAsia"/>
        </w:rPr>
        <w:t>跨链协同模块以阶段化状态机实现可验证的跨链原子性：首先登记跨链意图并锁定本链资源；随后验证外部链证明与确认高度；验证通过后提交本链状态并输出确认事件，超时或证明失败时按规则撤销锁定或执行补偿。每个阶段均绑定源链/目标链标识、业务唯一键、检查点和有效期，并提供幂等查询。跨链原子性是由证明、状态机和补偿规则共同保证的业务原子性，而非对多条链进行单事务锁定。</w:t>
      </w:r>
    </w:p>
    <w:p w14:paraId="6EEA282D">
      <w:pPr>
        <w:pStyle w:val="3"/>
      </w:pPr>
      <w:bookmarkStart w:id="50" w:name="_Toc235285745"/>
      <w:bookmarkStart w:id="51" w:name="_Toc235285734"/>
      <w:r>
        <w:t>安全算法类</w:t>
      </w:r>
      <w:bookmarkEnd w:id="50"/>
    </w:p>
    <w:p w14:paraId="28144641">
      <w:pPr>
        <w:ind w:firstLine="480"/>
      </w:pPr>
      <w:r>
        <w:t>作为长期运行的基础设施，执行层必须能应对密码学演进（后量子）并支持动态、可插拔的算法；但算法变更会触及确定性验证路径，不能被自由加载。安全算法类因此一方面在确定性路径内提供原生、后量子和动态密码的验证能力，另一方面把算法装载约束在来源校验、白名单、沙箱、资源限制和回滚之内，使外部算法无法未经校验地进入确定性路径。</w:t>
      </w:r>
    </w:p>
    <w:p w14:paraId="2CD7E17D">
      <w:pPr>
        <w:pStyle w:val="5"/>
      </w:pPr>
      <w:bookmarkStart w:id="52" w:name="_Toc235285746"/>
      <w:r>
        <w:t>密码安全模块</w:t>
      </w:r>
      <w:bookmarkEnd w:id="52"/>
    </w:p>
    <w:p w14:paraId="70F242E3">
      <w:pPr>
        <w:ind w:firstLine="480"/>
      </w:pPr>
      <w:r>
        <w:t>密码安全模块覆盖原生签名、后量子签名和动态密码交易。DynamicCryptoTx 携带密码类型、算法版本、签名数据、公钥及后量子地址；交易校验阶段根据链上启用状态选择验证器，并在账户状态中登记后量子公钥、计数器或密钥轮换信息。模块必须防止算法降级、计数器重放和格式歧义，并为不受支持的算法返回稳定错误码。</w:t>
      </w:r>
    </w:p>
    <w:p w14:paraId="18FCED70">
      <w:pPr>
        <w:pStyle w:val="5"/>
      </w:pPr>
      <w:bookmarkStart w:id="53" w:name="_Toc235285747"/>
      <w:r>
        <w:rPr>
          <w:rFonts w:hint="eastAsia"/>
        </w:rPr>
        <w:t>算法升级</w:t>
      </w:r>
      <w:r>
        <w:t>模块</w:t>
      </w:r>
      <w:bookmarkEnd w:id="53"/>
    </w:p>
    <w:p w14:paraId="4B17E648">
      <w:pPr>
        <w:ind w:firstLine="480"/>
        <w:rPr>
          <w:rFonts w:hint="eastAsia"/>
        </w:rPr>
      </w:pPr>
      <w:r>
        <w:t>算法升级模块通过治理授权、系统合约事件或预置算法元信息装载并启用新算法</w:t>
      </w:r>
      <w:r>
        <w:rPr>
          <w:rFonts w:hint="eastAsia"/>
        </w:rPr>
        <w:t>（通过执行层的</w:t>
      </w:r>
      <w:r>
        <w:rPr>
          <w:rFonts w:hint="eastAsia"/>
          <w:b/>
          <w:bCs/>
        </w:rPr>
        <w:t>密码协处理器</w:t>
      </w:r>
      <w:r>
        <w:rPr>
          <w:rFonts w:hint="eastAsia"/>
        </w:rPr>
        <w:t>完成）</w:t>
      </w:r>
      <w:r>
        <w:t>。生产路径必须验证制品来源签名、算法版本、代码哈希、白名单、沙箱边界、资源上限、超时和回滚方案，并在指定高度统一生效。新算法启用前应完成确定性向量、跨平台一致性、异常输入和性能上限测试；缺少任一关键约束时不得进入执行层主路径。</w:t>
      </w:r>
    </w:p>
    <w:p w14:paraId="623E05F1">
      <w:pPr>
        <w:pStyle w:val="3"/>
      </w:pPr>
      <w:r>
        <w:t>治理控制类</w:t>
      </w:r>
      <w:bookmarkEnd w:id="51"/>
    </w:p>
    <w:p w14:paraId="000AD089">
      <w:pPr>
        <w:ind w:firstLine="482"/>
      </w:pPr>
      <w:r>
        <w:rPr>
          <w:b/>
          <w:bCs/>
        </w:rPr>
        <w:t>执行层是需要长期演进的基础设施</w:t>
      </w:r>
      <w:r>
        <w:t>，应具备在尽量不硬分叉、不停机的情况下升级参数与能力的机制。治理决议不能由节点随意应用，而必须在所有节点的指定高度确定性生效。因此，治理控制类将治理区或链下执行器的决议转换为带授权、版本、生效高度和幂等约束的计划，并明确区分参数热更新、算法热更新与系统合约升级三类不同安全边界，避免以单一机制覆盖全部变更。</w:t>
      </w:r>
    </w:p>
    <w:p w14:paraId="780D8DC8">
      <w:pPr>
        <w:pStyle w:val="5"/>
      </w:pPr>
      <w:bookmarkStart w:id="54" w:name="_Toc235285735"/>
      <w:r>
        <w:rPr>
          <w:rFonts w:hint="eastAsia"/>
        </w:rPr>
        <w:t>治理参数模块</w:t>
      </w:r>
      <w:bookmarkEnd w:id="54"/>
    </w:p>
    <w:p w14:paraId="122EC6E4">
      <w:pPr>
        <w:ind w:firstLine="480"/>
      </w:pPr>
      <w:r>
        <w:t>治理参数模块将治理区或链下治理执行器的决议转换为执行层可执行的参数计划。计划对象包含目标区或模块、参数名、参数值、值类型、决议标识、生效高度、版本和幂等信息。执行器在构造目标高度的执行环境前，按确定顺序执行到期计划，校验冲突后重建相关运行参数，并以事件记录生效或失败结果。</w:t>
      </w:r>
    </w:p>
    <w:p w14:paraId="43928D49">
      <w:pPr>
        <w:pStyle w:val="5"/>
      </w:pPr>
      <w:bookmarkStart w:id="55" w:name="_Toc235285736"/>
      <w:r>
        <w:rPr>
          <w:rFonts w:hint="eastAsia"/>
        </w:rPr>
        <w:t>系统升级模块</w:t>
      </w:r>
      <w:bookmarkEnd w:id="55"/>
    </w:p>
    <w:p w14:paraId="60482A67">
      <w:pPr>
        <w:ind w:firstLine="480"/>
      </w:pPr>
      <w:r>
        <w:t>系统升级模块分离参数热更、算法热更和系统合约升级。参数热更改变运行策略；算法热更改变可调用算法能力；系统合约升级改变链上代码或系统合约逻辑。三者的生效位置和安全边界不同，不能混写为单一升级机制。</w:t>
      </w:r>
    </w:p>
    <w:p w14:paraId="4E2F805C">
      <w:pPr>
        <w:pStyle w:val="5"/>
      </w:pPr>
      <w:bookmarkStart w:id="56" w:name="_Toc235285737"/>
      <w:r>
        <w:rPr>
          <w:rFonts w:hint="eastAsia"/>
        </w:rPr>
        <w:t>安全审计模块</w:t>
      </w:r>
      <w:bookmarkEnd w:id="56"/>
    </w:p>
    <w:p w14:paraId="7B9C83FD">
      <w:pPr>
        <w:ind w:firstLine="480"/>
      </w:pPr>
      <w:r>
        <w:t>区别于以太坊，执行层为 EOA 和合约账户定义安全等级。对合约而言，安全等级表示治理审计或运行评估结果，可辅助用户和应用识别风险，并可作为系统质押、奖励资格、调用限制和资金处置的输入，但不替代交易签名与合约自身安全；对 EOA 而言，安全等级可支持污染交易处置、账户锁定与解锁。等级调整必须经过治理授权，在指定高度生效，并通过事件和查询接口完整留痕。</w:t>
      </w:r>
    </w:p>
    <w:p w14:paraId="2C24F347">
      <w:pPr>
        <w:pStyle w:val="3"/>
      </w:pPr>
      <w:bookmarkStart w:id="57" w:name="_Toc235285748"/>
      <w:r>
        <w:t>链下服务类</w:t>
      </w:r>
      <w:bookmarkEnd w:id="57"/>
    </w:p>
    <w:p w14:paraId="5E912D27">
      <w:pPr>
        <w:ind w:firstLine="480"/>
      </w:pPr>
      <w:r>
        <w:t>有些计算在链上执行代价过高，有些可观测与查询需求又不应触碰状态。链下服务类的设计思想是让高成本计算在链外完成，只把结果承诺、证明或验证摘要交回执行层校验并登记</w:t>
      </w:r>
      <w:r>
        <w:rPr>
          <w:rFonts w:hint="eastAsia"/>
        </w:rPr>
        <w:t>，也就是让执</w:t>
      </w:r>
      <w:r>
        <w:t>行层验证结果的可用性，而不承担全部计算过程。它同时提供只读的运行监控与对外查询，在不开放任何状态写入口的前提下暴露已提交状态。</w:t>
      </w:r>
      <w:r>
        <w:rPr>
          <w:rFonts w:hint="eastAsia"/>
        </w:rPr>
        <w:t>相比于以太坊，磐古系统的执行层新增的数据状态都需要同步向上层打开。</w:t>
      </w:r>
    </w:p>
    <w:p w14:paraId="35D163E0">
      <w:pPr>
        <w:pStyle w:val="5"/>
      </w:pPr>
      <w:bookmarkStart w:id="58" w:name="_Toc235285749"/>
      <w:r>
        <w:t>链下计算模块</w:t>
      </w:r>
      <w:bookmarkEnd w:id="58"/>
    </w:p>
    <w:p w14:paraId="6AEA564A">
      <w:pPr>
        <w:ind w:firstLine="480"/>
      </w:pPr>
      <w:r>
        <w:t>链下计算模块将高成本任务放在链外执行，并将任务标识、输入承诺、结果承诺、证明材料或验证摘要提交到执行层。执行层校验任务对应关系、算法版本、证明有效性与有效期，并通过状态或事件登记完成、失败或过期事实。结果重复提交通过幂等键合并，链下执行失败不得产生部分链上状态。</w:t>
      </w:r>
    </w:p>
    <w:p w14:paraId="310D9D7C">
      <w:pPr>
        <w:pStyle w:val="5"/>
      </w:pPr>
      <w:bookmarkStart w:id="59" w:name="_Toc235285750"/>
      <w:r>
        <w:t>运行监控模块</w:t>
      </w:r>
      <w:bookmarkEnd w:id="59"/>
    </w:p>
    <w:p w14:paraId="6FAF2AE2">
      <w:pPr>
        <w:ind w:firstLine="480"/>
      </w:pPr>
      <w:r>
        <w:t>运行监控模块面向节点健康、执行耗时、交易池积压、跨区事件、合约质押和治理联调等场景提供可观察信息与告警依据。监控指标应区分本地运行态与链上已提交态，并带有采集时间、区块高度和节点标识；该模块只能读取或索引状态，不得绕过主路径修改链上数据，也不得将敏感密钥或不必要的网络身份写入日志。</w:t>
      </w:r>
    </w:p>
    <w:p w14:paraId="3BFCBBB3">
      <w:pPr>
        <w:pStyle w:val="5"/>
      </w:pPr>
      <w:bookmarkStart w:id="60" w:name="_Toc235285751"/>
      <w:r>
        <w:t>对外查询模块</w:t>
      </w:r>
      <w:bookmarkEnd w:id="60"/>
    </w:p>
    <w:p w14:paraId="57DC5C2B">
      <w:pPr>
        <w:ind w:firstLine="480"/>
      </w:pPr>
      <w:r>
        <w:t>对外查询模块以以太坊兼容 JSON-RPC 为基础，面向应用、运维和治理工具提供只读查询，并扩展本金与利息分账、质押关系、合约运维状态、结算周期、奖励确认、区块头扩展字段、账户安全状态、治理参数、算法版本及跨区执行结果等接口。查询应支持按区块高度或标签读取，明确 pending、latest 和 finalized 等语义，并区分“已结算”“已生成奖励记录”和“PoT 已确认”，统一返回错误码、分页及数据版本。</w:t>
      </w:r>
    </w:p>
    <w:p w14:paraId="7DCC2F28">
      <w:pPr>
        <w:ind w:firstLine="480"/>
      </w:pPr>
      <w:r>
        <w:rPr>
          <w:rFonts w:hint="eastAsia"/>
        </w:rPr>
        <w:t>对于可复用的以太坊能力，优先保持方法名、参数和返回结构兼容；磐古新增能力采用独立命名空间，避免污染或改变原有 RPC 语义。RPC 服务需要配置认证、访问控制、限流、请求大小、批量查询上限和超时策略；任何管理性写操作均应通过受控交易或治理计划完成，不直接修改节点本地状态</w:t>
      </w:r>
    </w:p>
    <w:p w14:paraId="3CE3B405">
      <w:pPr>
        <w:pStyle w:val="2"/>
      </w:pPr>
      <w:bookmarkStart w:id="61" w:name="_Toc235285752"/>
      <w:r>
        <w:rPr>
          <w:rFonts w:hint="eastAsia"/>
        </w:rPr>
        <w:t>关键机制流程</w:t>
      </w:r>
      <w:bookmarkEnd w:id="61"/>
    </w:p>
    <w:p w14:paraId="5804CCB6">
      <w:pPr>
        <w:pStyle w:val="3"/>
      </w:pPr>
      <w:bookmarkStart w:id="62" w:name="_Toc235285753"/>
      <w:r>
        <w:t>普通交易执行流程</w:t>
      </w:r>
      <w:bookmarkEnd w:id="62"/>
    </w:p>
    <w:p w14:paraId="0DA3D7A9">
      <w:pPr>
        <w:ind w:firstLine="480"/>
        <w:rPr>
          <w:rFonts w:eastAsia="宋体"/>
          <w:color w:val="000000"/>
        </w:rPr>
      </w:pPr>
      <w:r>
        <w:t>普通交易由用户通过钱包或 DApp 构造并签名，经 RPC 和网络入口完成基础校验后进入交易池。执行层将候选交易提交到目标分区委员会；委员会完成提议、投票和证明形成后，通过 CommitBlock/ExecBlock 返回携带分区、共识编号和证明的确定顺序。执行层校验父块、证明与执行上下文后按序执行状态转换。单笔交易无论成功或失败均生成收据，失败交易回滚其业务状态但保留必要的费用与错误语义；批次完成后，区块、状态根、收据根、日志和索引统一落盘，此时状态为“已执行”。</w:t>
      </w:r>
    </w:p>
    <w:p w14:paraId="1D2A4AA4">
      <w:pPr>
        <w:ind w:firstLine="480"/>
        <w:rPr>
          <w:rFonts w:eastAsia="宋体"/>
          <w:color w:val="000000"/>
        </w:rPr>
      </w:pPr>
      <w:r>
        <w:t>PoT Worker 随后通过 PoTExecutor 按高度拉取已执行区块，并取得同一区间的跨链检查点和激励信息；PoT 将 ExecuteHeader 集合及 ExeHash 写入基础区块并完成主链确认后，该执行结果进入“已备案/全局确认”状态。查询接口应同时返回执行高度与 PoT 确认信息，使应用能够根据业务风险选择已执行或 PoT 已确认作为完成条件。</w:t>
      </w:r>
    </w:p>
    <w:p w14:paraId="7F02AF14">
      <w:pPr>
        <w:pStyle w:val="3"/>
      </w:pPr>
      <w:bookmarkStart w:id="63" w:name="_Toc235285754"/>
      <w:r>
        <w:t>跨区转账流程</w:t>
      </w:r>
      <w:bookmarkEnd w:id="63"/>
    </w:p>
    <w:p w14:paraId="4084D7BA">
      <w:pPr>
        <w:ind w:firstLine="480"/>
      </w:pPr>
      <w:r>
        <w:t>跨区转账将 Transfer 与 Execute 分离：UTXO 区负责原生资产锁定、消费和流转事实，执行层负责账户模型中的资金登记、Gas 使用及合约侧结果确认。转入请求以完整签名交易或带 UTXO 证明的可验证消息进入交易池；执行层验证来源、确认高度、金额和幂等键后执行入账。转出、Gas 扣款或找零请求通过系统交易和 UTXO 服务接口回传，并关联同一跨区业务标识。</w:t>
      </w:r>
    </w:p>
    <w:p w14:paraId="0B7E6AC9">
      <w:pPr>
        <w:ind w:firstLine="480"/>
      </w:pPr>
      <w:r>
        <w:t>跨区流程的每个阶段均应形成可追踪事实，最终写入收据、日志、检查点或可查询证明。下游分区只依据达到约定确认级别的事实继续处理；遇到超时、重复消息或网络中断时，按业务标识查询当前阶段并安全重试。失败时执行明确的解锁、找零或补偿动作，避免依赖本地内存状态和不可审计的外部通知。</w:t>
      </w:r>
    </w:p>
    <w:p w14:paraId="01758482">
      <w:pPr>
        <w:pStyle w:val="3"/>
      </w:pPr>
      <w:bookmarkStart w:id="64" w:name="_Toc235285755"/>
      <w:r>
        <w:rPr>
          <w:rFonts w:hint="eastAsia" w:ascii="Cambria" w:hAnsi="Cambria" w:cs="Cambria"/>
        </w:rPr>
        <w:t>运行参数升级</w:t>
      </w:r>
      <w:r>
        <w:rPr>
          <w:rFonts w:hint="eastAsia"/>
        </w:rPr>
        <w:t>流</w:t>
      </w:r>
      <w:r>
        <w:t>程</w:t>
      </w:r>
      <w:bookmarkEnd w:id="64"/>
    </w:p>
    <w:p w14:paraId="10C15D1D">
      <w:pPr>
        <w:ind w:firstLine="480"/>
      </w:pPr>
      <w:r>
        <w:t>治理区或链下治理执行器生成参数更新请求后，执行层校验授权来源、目标区或模块、参数名、值类型与范围、生效高度、版本和幂等键。合法请求被转换为 Plan 并写入 PlanPool。执行器在构造目标高度的执行环境前，按确定顺序取出到期计划，检测同高度冲突，合并可兼容变更并重建相关调节器；计划执行结果通过收据与事件记录。</w:t>
      </w:r>
    </w:p>
    <w:p w14:paraId="102BE526">
      <w:pPr>
        <w:ind w:firstLine="480"/>
      </w:pPr>
      <w:r>
        <w:t>参数计划只影响生效高度及其后的交易，不回写历史区块，也不得依据节点本地时间或配置提前生效。所有节点必须根据同一父状态、区块高度和计划集合得到一致参数状态。计划失效、冲突或执行失败时，应保留原参数并记录明确原因；需要撤销时，通过新的治理计划在后续高度生效。</w:t>
      </w:r>
    </w:p>
    <w:p w14:paraId="72C9037F">
      <w:pPr>
        <w:pStyle w:val="3"/>
      </w:pPr>
      <w:bookmarkStart w:id="65" w:name="_Toc235285756"/>
      <w:r>
        <w:rPr>
          <w:rFonts w:hint="eastAsia"/>
        </w:rPr>
        <w:t>密码算法升级流</w:t>
      </w:r>
      <w:r>
        <w:t>程</w:t>
      </w:r>
      <w:bookmarkEnd w:id="65"/>
    </w:p>
    <w:p w14:paraId="3D98D2EA">
      <w:pPr>
        <w:ind w:firstLine="480"/>
      </w:pPr>
      <w:r>
        <w:t>密码算法升级以</w:t>
      </w:r>
      <w:r>
        <w:rPr>
          <w:rFonts w:hint="eastAsia"/>
        </w:rPr>
        <w:t>执行层密码协处理器</w:t>
      </w:r>
      <w:r>
        <w:t>作为触发入口。执行层获取算法元信息后，依次验证来源签名、版本、代码哈希、兼容范围和资源约束，再在隔离环境中完成确定性测试，并将启用计划绑定到指定高度。EVM 或系统合约调用算法能力时，执行层通过受控执行器完成调用并将结果编码为链上可验证输出；装载、执行或验证失败时不得改变原算法状态，并应支持按治理计划停用或回滚。</w:t>
      </w:r>
    </w:p>
    <w:p w14:paraId="72B4F163">
      <w:pPr>
        <w:pStyle w:val="3"/>
        <w:ind w:left="0"/>
      </w:pPr>
      <w:bookmarkStart w:id="66" w:name="_Toc235283358"/>
      <w:bookmarkStart w:id="67" w:name="_Toc235285757"/>
      <w:r>
        <w:rPr>
          <w:rFonts w:hint="eastAsia"/>
        </w:rPr>
        <w:t>合约生命周期管理</w:t>
      </w:r>
      <w:bookmarkEnd w:id="66"/>
      <w:bookmarkEnd w:id="67"/>
    </w:p>
    <w:p w14:paraId="229D4832">
      <w:pPr>
        <w:ind w:firstLine="480"/>
      </w:pPr>
      <w:r>
        <w:t>合约部署或追加质押交易携带合约业务类型、质押金额、锁定期限、部署人、投资人、受益人和规则版本。执行层校验资金来源、安全资格、角色授权和最低质押要求后，登记质押关系与运维资金，合约进入可调用状态。该阶段只确定资格和初始状态，不在概要设计中固化具体期限、利率或最低金额。</w:t>
      </w:r>
    </w:p>
    <w:p w14:paraId="06E768EE">
      <w:pPr>
        <w:ind w:firstLine="480"/>
      </w:pPr>
      <w:r>
        <w:t>合约运行期间，执行层在每次成功调用后原子更新调用次数、Gas、资金流量与留存等贡献事实，并在支付、追加质押、纪年结算或到期时按适用规则结存利息。年度运维费用从约定资金来源扣取；余额不足时合约转为冻结，补足欠费后重新激活，超过处置期限仍未补足则转为失效。所有状态变化均生成收据和事件。</w:t>
      </w:r>
    </w:p>
    <w:p w14:paraId="76B11FDD">
      <w:pPr>
        <w:ind w:firstLine="480"/>
      </w:pPr>
      <w:r>
        <w:t>结算请求按合约、投资人、结算周期和规则版本执行幂等校验。执行层计算可领取收益或形成待确认的 BCI 奖励记录，PoT 核验并确认后更新奖励确认状态；本金返还、续期、退出与奖励领取分别处理。若治理区将合约认定为问题或恶意合约，执行层从生效高度起按决议停止计息、限制退出或执行罚没，失败操作回滚本次状态变化。</w:t>
      </w:r>
    </w:p>
    <w:p w14:paraId="04206457">
      <w:pPr>
        <w:pStyle w:val="3"/>
        <w:ind w:left="0"/>
      </w:pPr>
      <w:bookmarkStart w:id="68" w:name="_Toc235285758"/>
      <w:bookmarkStart w:id="69" w:name="_Toc235283359"/>
      <w:r>
        <w:t>系统</w:t>
      </w:r>
      <w:r>
        <w:rPr>
          <w:rFonts w:hint="eastAsia"/>
        </w:rPr>
        <w:t>激励</w:t>
      </w:r>
      <w:r>
        <w:t>结算流程</w:t>
      </w:r>
      <w:bookmarkEnd w:id="68"/>
      <w:bookmarkEnd w:id="69"/>
    </w:p>
    <w:p w14:paraId="69B6053E">
      <w:pPr>
        <w:ind w:firstLine="480"/>
      </w:pPr>
      <w:r>
        <w:t>系统奖励以 PoT 高度、epoch 或系统纪年作为结算边界。执行层按奖励类别汇总已提交的费用、区块与委员会贡献、合约收益、质押收益及系统服务履约事实，并依据链上规则完成资格、额度和重复结算校验，生成包含结算周期、受益方、资产类型、金额、依据摘要和规则版本的激励记录。基础供应、浮动奖励额度和国库调节只作为链上约束参与校验，具体发行曲线与比例不在概要设计中展开。</w:t>
      </w:r>
    </w:p>
    <w:p w14:paraId="4011D357">
      <w:pPr>
        <w:ind w:firstLine="480"/>
      </w:pPr>
      <w:r>
        <w:t>PoT Worker 通过 GetIncentive 拉取待确认激励记录，并在基础链中完成核验、打包与确认；执行层通过 VerifyIncensentive 复核奖励与执行事实的对应关系，并向查询层返回待确认、PoT 已确认或失败等状态。重复拉取、候选块失效或 PoT 分支切换不得造成重复发放，未达到 PoT 确认条件的奖励不能作为最终可用结果。</w:t>
      </w:r>
    </w:p>
    <w:p w14:paraId="3A93384D">
      <w:pPr>
        <w:ind w:firstLine="480"/>
      </w:pPr>
    </w:p>
    <w:sectPr>
      <w:headerReference r:id="rId13" w:type="first"/>
      <w:footerReference r:id="rId16" w:type="first"/>
      <w:headerReference r:id="rId11" w:type="default"/>
      <w:footerReference r:id="rId14" w:type="default"/>
      <w:headerReference r:id="rId12" w:type="even"/>
      <w:footerReference r:id="rId15"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4D939">
    <w:pPr>
      <w:pStyle w:val="2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140CB">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AC23">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1D0DE">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591D6">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6C597">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F6B71">
    <w:pPr>
      <w:pStyle w:val="2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BB985">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CEB7B">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4090C">
    <w:pPr>
      <w:pStyle w:val="23"/>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54564">
    <w:pPr>
      <w:pStyle w:val="23"/>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AF2CA">
    <w:pPr>
      <w:pStyle w:val="2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8C70E4"/>
    <w:multiLevelType w:val="multilevel"/>
    <w:tmpl w:val="098C70E4"/>
    <w:lvl w:ilvl="0" w:tentative="0">
      <w:start w:val="1"/>
      <w:numFmt w:val="decimal"/>
      <w:lvlText w:val="%1"/>
      <w:lvlJc w:val="left"/>
      <w:pPr>
        <w:ind w:left="432" w:hanging="432"/>
      </w:pPr>
      <w:rPr>
        <w:rFonts w:hint="eastAsia"/>
      </w:rPr>
    </w:lvl>
    <w:lvl w:ilvl="1" w:tentative="0">
      <w:start w:val="1"/>
      <w:numFmt w:val="decimal"/>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Restart w:val="1"/>
      <w:lvlText w:val="%1.%2.%3.%4"/>
      <w:lvlJc w:val="left"/>
      <w:pPr>
        <w:ind w:left="864" w:hanging="864"/>
      </w:pPr>
      <w:rPr>
        <w:rFonts w:hint="eastAsia"/>
      </w:rPr>
    </w:lvl>
    <w:lvl w:ilvl="4" w:tentative="0">
      <w:start w:val="1"/>
      <w:numFmt w:val="decimal"/>
      <w:pStyle w:val="8"/>
      <w:lvlText w:val="%1.%2.%3.%4.%5"/>
      <w:lvlJc w:val="left"/>
      <w:pPr>
        <w:ind w:left="1008" w:hanging="1008"/>
      </w:pPr>
      <w:rPr>
        <w:rFonts w:hint="eastAsia"/>
      </w:rPr>
    </w:lvl>
    <w:lvl w:ilvl="5" w:tentative="0">
      <w:start w:val="1"/>
      <w:numFmt w:val="decimal"/>
      <w:pStyle w:val="9"/>
      <w:lvlText w:val="%1.%2.%3.%4.%5.%6"/>
      <w:lvlJc w:val="left"/>
      <w:pPr>
        <w:ind w:left="1152" w:hanging="1152"/>
      </w:pPr>
      <w:rPr>
        <w:rFonts w:hint="eastAsia"/>
      </w:rPr>
    </w:lvl>
    <w:lvl w:ilvl="6" w:tentative="0">
      <w:start w:val="1"/>
      <w:numFmt w:val="decimal"/>
      <w:pStyle w:val="10"/>
      <w:lvlText w:val="%1.%2.%3.%4.%5.%6.%7"/>
      <w:lvlJc w:val="left"/>
      <w:pPr>
        <w:ind w:left="1296" w:hanging="1296"/>
      </w:pPr>
      <w:rPr>
        <w:rFonts w:hint="eastAsia"/>
      </w:rPr>
    </w:lvl>
    <w:lvl w:ilvl="7" w:tentative="0">
      <w:start w:val="1"/>
      <w:numFmt w:val="decimal"/>
      <w:pStyle w:val="11"/>
      <w:lvlText w:val="%1.%2.%3.%4.%5.%6.%7.%8"/>
      <w:lvlJc w:val="left"/>
      <w:pPr>
        <w:ind w:left="1440" w:hanging="1440"/>
      </w:pPr>
      <w:rPr>
        <w:rFonts w:hint="eastAsia"/>
      </w:rPr>
    </w:lvl>
    <w:lvl w:ilvl="8" w:tentative="0">
      <w:start w:val="1"/>
      <w:numFmt w:val="decimal"/>
      <w:pStyle w:val="12"/>
      <w:lvlText w:val="%1.%2.%3.%4.%5.%6.%7.%8.%9"/>
      <w:lvlJc w:val="left"/>
      <w:pPr>
        <w:ind w:left="1584" w:hanging="1584"/>
      </w:pPr>
      <w:rPr>
        <w:rFonts w:hint="eastAsia"/>
      </w:rPr>
    </w:lvl>
  </w:abstractNum>
  <w:abstractNum w:abstractNumId="1">
    <w:nsid w:val="25DA4A12"/>
    <w:multiLevelType w:val="multilevel"/>
    <w:tmpl w:val="25DA4A12"/>
    <w:lvl w:ilvl="0" w:tentative="0">
      <w:start w:val="1"/>
      <w:numFmt w:val="chineseCountingThousand"/>
      <w:suff w:val="nothing"/>
      <w:lvlText w:val="%1、"/>
      <w:lvlJc w:val="left"/>
      <w:pPr>
        <w:ind w:left="0" w:firstLine="0"/>
      </w:pPr>
      <w:rPr>
        <w:rFonts w:hint="eastAsia"/>
      </w:rPr>
    </w:lvl>
    <w:lvl w:ilvl="1" w:tentative="0">
      <w:start w:val="1"/>
      <w:numFmt w:val="decimal"/>
      <w:suff w:val="space"/>
      <w:lvlText w:val="%2."/>
      <w:lvlJc w:val="left"/>
      <w:pPr>
        <w:ind w:left="0" w:firstLine="0"/>
      </w:pPr>
      <w:rPr>
        <w:rFonts w:hint="eastAsia"/>
      </w:rPr>
    </w:lvl>
    <w:lvl w:ilvl="2" w:tentative="0">
      <w:start w:val="1"/>
      <w:numFmt w:val="decimal"/>
      <w:pStyle w:val="32"/>
      <w:suff w:val="space"/>
      <w:lvlText w:val="%2.%3"/>
      <w:lvlJc w:val="left"/>
      <w:pPr>
        <w:ind w:left="0" w:firstLine="0"/>
      </w:pPr>
      <w:rPr>
        <w:rFonts w:hint="eastAsia"/>
      </w:rPr>
    </w:lvl>
    <w:lvl w:ilvl="3" w:tentative="0">
      <w:start w:val="1"/>
      <w:numFmt w:val="decimal"/>
      <w:pStyle w:val="26"/>
      <w:suff w:val="space"/>
      <w:lvlText w:val="%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52D031F8"/>
    <w:multiLevelType w:val="multilevel"/>
    <w:tmpl w:val="52D031F8"/>
    <w:lvl w:ilvl="0" w:tentative="0">
      <w:start w:val="1"/>
      <w:numFmt w:val="decimal"/>
      <w:pStyle w:val="2"/>
      <w:suff w:val="space"/>
      <w:lvlText w:val="%1."/>
      <w:lvlJc w:val="left"/>
      <w:pPr>
        <w:ind w:left="113" w:hanging="113"/>
      </w:pPr>
      <w:rPr>
        <w:rFonts w:hint="default"/>
      </w:rPr>
    </w:lvl>
    <w:lvl w:ilvl="1" w:tentative="0">
      <w:start w:val="1"/>
      <w:numFmt w:val="decimal"/>
      <w:pStyle w:val="3"/>
      <w:isLgl/>
      <w:suff w:val="space"/>
      <w:lvlText w:val="%1.%2"/>
      <w:lvlJc w:val="left"/>
      <w:pPr>
        <w:ind w:left="360" w:hanging="360"/>
      </w:pPr>
      <w:rPr>
        <w:rFonts w:hint="default"/>
      </w:rPr>
    </w:lvl>
    <w:lvl w:ilvl="2" w:tentative="0">
      <w:start w:val="1"/>
      <w:numFmt w:val="decimal"/>
      <w:pStyle w:val="5"/>
      <w:isLgl/>
      <w:suff w:val="space"/>
      <w:lvlText w:val="%1.%2.%3"/>
      <w:lvlJc w:val="left"/>
      <w:pPr>
        <w:ind w:left="3840" w:hanging="720"/>
      </w:pPr>
      <w:rPr>
        <w:rFonts w:hint="default"/>
        <w:b/>
        <w:bCs/>
      </w:rPr>
    </w:lvl>
    <w:lvl w:ilvl="3" w:tentative="0">
      <w:start w:val="1"/>
      <w:numFmt w:val="decimal"/>
      <w:pStyle w:val="7"/>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M1ZWFkZmQyN2ExZDQyOWY0MjBhNWZjOTUyZDVmMDcifQ=="/>
  </w:docVars>
  <w:rsids>
    <w:rsidRoot w:val="00884C45"/>
    <w:rsid w:val="00003BD4"/>
    <w:rsid w:val="000132A0"/>
    <w:rsid w:val="00024875"/>
    <w:rsid w:val="000275D0"/>
    <w:rsid w:val="00045B77"/>
    <w:rsid w:val="00061E2D"/>
    <w:rsid w:val="00064F4C"/>
    <w:rsid w:val="0008103D"/>
    <w:rsid w:val="000A073D"/>
    <w:rsid w:val="000A336F"/>
    <w:rsid w:val="000A480B"/>
    <w:rsid w:val="000B3817"/>
    <w:rsid w:val="000B6B0A"/>
    <w:rsid w:val="000C07BA"/>
    <w:rsid w:val="000E6C17"/>
    <w:rsid w:val="000F449D"/>
    <w:rsid w:val="000F7AFC"/>
    <w:rsid w:val="001016C8"/>
    <w:rsid w:val="001069B3"/>
    <w:rsid w:val="001259C6"/>
    <w:rsid w:val="00133210"/>
    <w:rsid w:val="00151864"/>
    <w:rsid w:val="00156F0B"/>
    <w:rsid w:val="00164E2C"/>
    <w:rsid w:val="00175F43"/>
    <w:rsid w:val="00176FF9"/>
    <w:rsid w:val="00194754"/>
    <w:rsid w:val="0019672D"/>
    <w:rsid w:val="001A11E9"/>
    <w:rsid w:val="001B216F"/>
    <w:rsid w:val="001D266A"/>
    <w:rsid w:val="001D5863"/>
    <w:rsid w:val="001F4A8E"/>
    <w:rsid w:val="001F5D1F"/>
    <w:rsid w:val="001F6873"/>
    <w:rsid w:val="001F74DA"/>
    <w:rsid w:val="002138C3"/>
    <w:rsid w:val="002143A5"/>
    <w:rsid w:val="0022306D"/>
    <w:rsid w:val="0022405C"/>
    <w:rsid w:val="00235DF1"/>
    <w:rsid w:val="00246144"/>
    <w:rsid w:val="00250C84"/>
    <w:rsid w:val="002530D6"/>
    <w:rsid w:val="002605A3"/>
    <w:rsid w:val="00265EE6"/>
    <w:rsid w:val="00266E50"/>
    <w:rsid w:val="002757C8"/>
    <w:rsid w:val="002847EA"/>
    <w:rsid w:val="0028720B"/>
    <w:rsid w:val="0028769F"/>
    <w:rsid w:val="00287AA6"/>
    <w:rsid w:val="0029367B"/>
    <w:rsid w:val="002956D3"/>
    <w:rsid w:val="00296336"/>
    <w:rsid w:val="002A2D0D"/>
    <w:rsid w:val="002D35D8"/>
    <w:rsid w:val="002E4036"/>
    <w:rsid w:val="002E7836"/>
    <w:rsid w:val="002F52DF"/>
    <w:rsid w:val="00312EEA"/>
    <w:rsid w:val="00313ACE"/>
    <w:rsid w:val="0031754A"/>
    <w:rsid w:val="00317965"/>
    <w:rsid w:val="0033135E"/>
    <w:rsid w:val="00334802"/>
    <w:rsid w:val="00334BD4"/>
    <w:rsid w:val="003418B3"/>
    <w:rsid w:val="00355CB6"/>
    <w:rsid w:val="00364404"/>
    <w:rsid w:val="00370906"/>
    <w:rsid w:val="003745BA"/>
    <w:rsid w:val="00396A32"/>
    <w:rsid w:val="003A03B1"/>
    <w:rsid w:val="003A5D90"/>
    <w:rsid w:val="003E37C4"/>
    <w:rsid w:val="003E38D0"/>
    <w:rsid w:val="003F1A6B"/>
    <w:rsid w:val="004124EA"/>
    <w:rsid w:val="0042302E"/>
    <w:rsid w:val="004336FB"/>
    <w:rsid w:val="0045407E"/>
    <w:rsid w:val="00456838"/>
    <w:rsid w:val="004773FB"/>
    <w:rsid w:val="0049628E"/>
    <w:rsid w:val="004A54C9"/>
    <w:rsid w:val="004B1B7A"/>
    <w:rsid w:val="004B711E"/>
    <w:rsid w:val="004C01C6"/>
    <w:rsid w:val="004C3CC4"/>
    <w:rsid w:val="004D060F"/>
    <w:rsid w:val="004D1E71"/>
    <w:rsid w:val="004D56B0"/>
    <w:rsid w:val="004F1EDA"/>
    <w:rsid w:val="004F736F"/>
    <w:rsid w:val="00505231"/>
    <w:rsid w:val="00512D2B"/>
    <w:rsid w:val="0051636E"/>
    <w:rsid w:val="00517281"/>
    <w:rsid w:val="0053283C"/>
    <w:rsid w:val="00544055"/>
    <w:rsid w:val="00545669"/>
    <w:rsid w:val="00555FE9"/>
    <w:rsid w:val="005628FF"/>
    <w:rsid w:val="00570D0F"/>
    <w:rsid w:val="00576209"/>
    <w:rsid w:val="00580B63"/>
    <w:rsid w:val="00587023"/>
    <w:rsid w:val="00587B52"/>
    <w:rsid w:val="00597BF7"/>
    <w:rsid w:val="005B2B31"/>
    <w:rsid w:val="005B3F3F"/>
    <w:rsid w:val="005D26A1"/>
    <w:rsid w:val="005E1FDF"/>
    <w:rsid w:val="005F5F7C"/>
    <w:rsid w:val="005F6F46"/>
    <w:rsid w:val="005F7FB7"/>
    <w:rsid w:val="0062598F"/>
    <w:rsid w:val="0064229F"/>
    <w:rsid w:val="00666628"/>
    <w:rsid w:val="00674212"/>
    <w:rsid w:val="00685543"/>
    <w:rsid w:val="006A5BD9"/>
    <w:rsid w:val="006F0B30"/>
    <w:rsid w:val="006F5B76"/>
    <w:rsid w:val="00730707"/>
    <w:rsid w:val="00742847"/>
    <w:rsid w:val="00754CDA"/>
    <w:rsid w:val="007620DA"/>
    <w:rsid w:val="00773C56"/>
    <w:rsid w:val="00781B86"/>
    <w:rsid w:val="00783D7A"/>
    <w:rsid w:val="007875C2"/>
    <w:rsid w:val="007943BE"/>
    <w:rsid w:val="007B37CC"/>
    <w:rsid w:val="007B6C6A"/>
    <w:rsid w:val="007C52D9"/>
    <w:rsid w:val="007C5341"/>
    <w:rsid w:val="007C5AB4"/>
    <w:rsid w:val="007D1B0F"/>
    <w:rsid w:val="007E040D"/>
    <w:rsid w:val="00810114"/>
    <w:rsid w:val="00833ECB"/>
    <w:rsid w:val="00840196"/>
    <w:rsid w:val="008453D5"/>
    <w:rsid w:val="00846735"/>
    <w:rsid w:val="008509E2"/>
    <w:rsid w:val="0086072A"/>
    <w:rsid w:val="00875768"/>
    <w:rsid w:val="00876E06"/>
    <w:rsid w:val="00884C45"/>
    <w:rsid w:val="0089631C"/>
    <w:rsid w:val="008C7302"/>
    <w:rsid w:val="008E188D"/>
    <w:rsid w:val="008F2778"/>
    <w:rsid w:val="00900C7A"/>
    <w:rsid w:val="00904D4F"/>
    <w:rsid w:val="00927209"/>
    <w:rsid w:val="0093535D"/>
    <w:rsid w:val="00946D79"/>
    <w:rsid w:val="0095554E"/>
    <w:rsid w:val="009D23DA"/>
    <w:rsid w:val="009E23CD"/>
    <w:rsid w:val="009E36D9"/>
    <w:rsid w:val="009F3220"/>
    <w:rsid w:val="00A00ACE"/>
    <w:rsid w:val="00A04468"/>
    <w:rsid w:val="00A065B3"/>
    <w:rsid w:val="00A147B9"/>
    <w:rsid w:val="00A228CE"/>
    <w:rsid w:val="00A44E0A"/>
    <w:rsid w:val="00A47364"/>
    <w:rsid w:val="00A621A5"/>
    <w:rsid w:val="00A629F3"/>
    <w:rsid w:val="00A852C1"/>
    <w:rsid w:val="00A90DB2"/>
    <w:rsid w:val="00A946DA"/>
    <w:rsid w:val="00A94C7E"/>
    <w:rsid w:val="00AC2E57"/>
    <w:rsid w:val="00AC30A7"/>
    <w:rsid w:val="00AC60B7"/>
    <w:rsid w:val="00AC693C"/>
    <w:rsid w:val="00AD402C"/>
    <w:rsid w:val="00AD7E86"/>
    <w:rsid w:val="00AE2B79"/>
    <w:rsid w:val="00AE6262"/>
    <w:rsid w:val="00B1225A"/>
    <w:rsid w:val="00B202D1"/>
    <w:rsid w:val="00B22F31"/>
    <w:rsid w:val="00B3739B"/>
    <w:rsid w:val="00B4141E"/>
    <w:rsid w:val="00B521D7"/>
    <w:rsid w:val="00B71EFC"/>
    <w:rsid w:val="00B75A99"/>
    <w:rsid w:val="00B8131F"/>
    <w:rsid w:val="00B867C5"/>
    <w:rsid w:val="00B86A02"/>
    <w:rsid w:val="00B95450"/>
    <w:rsid w:val="00BA5CA5"/>
    <w:rsid w:val="00BC7724"/>
    <w:rsid w:val="00BD7058"/>
    <w:rsid w:val="00BF3BC4"/>
    <w:rsid w:val="00C25A8D"/>
    <w:rsid w:val="00C30406"/>
    <w:rsid w:val="00C31AEC"/>
    <w:rsid w:val="00C35ED1"/>
    <w:rsid w:val="00C370A9"/>
    <w:rsid w:val="00C8213E"/>
    <w:rsid w:val="00C912A4"/>
    <w:rsid w:val="00C94577"/>
    <w:rsid w:val="00C949B6"/>
    <w:rsid w:val="00CC5FA7"/>
    <w:rsid w:val="00CD4AE4"/>
    <w:rsid w:val="00CF4EED"/>
    <w:rsid w:val="00D00880"/>
    <w:rsid w:val="00D0717E"/>
    <w:rsid w:val="00D27CC9"/>
    <w:rsid w:val="00D30F69"/>
    <w:rsid w:val="00D311B3"/>
    <w:rsid w:val="00D43643"/>
    <w:rsid w:val="00D51AB7"/>
    <w:rsid w:val="00D54A1F"/>
    <w:rsid w:val="00D5674C"/>
    <w:rsid w:val="00D602D5"/>
    <w:rsid w:val="00D62EB7"/>
    <w:rsid w:val="00D665C0"/>
    <w:rsid w:val="00D94C10"/>
    <w:rsid w:val="00DA44AA"/>
    <w:rsid w:val="00DC6A29"/>
    <w:rsid w:val="00DD1AE4"/>
    <w:rsid w:val="00DE3C38"/>
    <w:rsid w:val="00DF48F4"/>
    <w:rsid w:val="00DF6544"/>
    <w:rsid w:val="00E02397"/>
    <w:rsid w:val="00E04B0E"/>
    <w:rsid w:val="00E06B70"/>
    <w:rsid w:val="00E120AA"/>
    <w:rsid w:val="00E12DAE"/>
    <w:rsid w:val="00E1568E"/>
    <w:rsid w:val="00E1708B"/>
    <w:rsid w:val="00E22E90"/>
    <w:rsid w:val="00E24A7F"/>
    <w:rsid w:val="00E527DA"/>
    <w:rsid w:val="00E56E43"/>
    <w:rsid w:val="00E57A48"/>
    <w:rsid w:val="00E60B51"/>
    <w:rsid w:val="00E908A9"/>
    <w:rsid w:val="00EA4CCB"/>
    <w:rsid w:val="00EC1487"/>
    <w:rsid w:val="00ED02AE"/>
    <w:rsid w:val="00ED2470"/>
    <w:rsid w:val="00ED249B"/>
    <w:rsid w:val="00ED57FF"/>
    <w:rsid w:val="00ED7636"/>
    <w:rsid w:val="00EE122A"/>
    <w:rsid w:val="00EF7B87"/>
    <w:rsid w:val="00F054A8"/>
    <w:rsid w:val="00F30DE0"/>
    <w:rsid w:val="00F42E24"/>
    <w:rsid w:val="00F44027"/>
    <w:rsid w:val="00F44382"/>
    <w:rsid w:val="00F44DDD"/>
    <w:rsid w:val="00F5279D"/>
    <w:rsid w:val="00F60384"/>
    <w:rsid w:val="00F63CEE"/>
    <w:rsid w:val="00F77C42"/>
    <w:rsid w:val="00F97B58"/>
    <w:rsid w:val="00FB2AD4"/>
    <w:rsid w:val="00FB447F"/>
    <w:rsid w:val="00FC4B99"/>
    <w:rsid w:val="00FD5FC8"/>
    <w:rsid w:val="00FD7DC2"/>
    <w:rsid w:val="00FE1E58"/>
    <w:rsid w:val="00FF3229"/>
    <w:rsid w:val="01065EAE"/>
    <w:rsid w:val="0226566B"/>
    <w:rsid w:val="025B3D7E"/>
    <w:rsid w:val="02A855DF"/>
    <w:rsid w:val="03205DCE"/>
    <w:rsid w:val="05036D54"/>
    <w:rsid w:val="06496D19"/>
    <w:rsid w:val="06C012B7"/>
    <w:rsid w:val="06C16F1D"/>
    <w:rsid w:val="07850BA8"/>
    <w:rsid w:val="08EC60EA"/>
    <w:rsid w:val="09CA3B9F"/>
    <w:rsid w:val="0A5B70CB"/>
    <w:rsid w:val="0B130875"/>
    <w:rsid w:val="0B1B287B"/>
    <w:rsid w:val="0B6347B1"/>
    <w:rsid w:val="0B832201"/>
    <w:rsid w:val="0C2E2BDB"/>
    <w:rsid w:val="0C374DB6"/>
    <w:rsid w:val="0C520D6B"/>
    <w:rsid w:val="0C7620D0"/>
    <w:rsid w:val="0CBB4EC7"/>
    <w:rsid w:val="0D2E0C41"/>
    <w:rsid w:val="0E0020E5"/>
    <w:rsid w:val="0F323F65"/>
    <w:rsid w:val="0FAB7D38"/>
    <w:rsid w:val="0FDC5BFA"/>
    <w:rsid w:val="0FEE40DD"/>
    <w:rsid w:val="108D58A1"/>
    <w:rsid w:val="110B33EA"/>
    <w:rsid w:val="1129757E"/>
    <w:rsid w:val="11597D4F"/>
    <w:rsid w:val="1174423F"/>
    <w:rsid w:val="11B12A0E"/>
    <w:rsid w:val="11C00D1B"/>
    <w:rsid w:val="123E3BF5"/>
    <w:rsid w:val="128D65DE"/>
    <w:rsid w:val="12A3059B"/>
    <w:rsid w:val="14623F7F"/>
    <w:rsid w:val="1488698B"/>
    <w:rsid w:val="149F4D92"/>
    <w:rsid w:val="14B27E01"/>
    <w:rsid w:val="14D179DF"/>
    <w:rsid w:val="150F2AF9"/>
    <w:rsid w:val="15821F19"/>
    <w:rsid w:val="167F4E7B"/>
    <w:rsid w:val="16B47B1E"/>
    <w:rsid w:val="17473CDD"/>
    <w:rsid w:val="175B59F2"/>
    <w:rsid w:val="17FE41E9"/>
    <w:rsid w:val="191F01ED"/>
    <w:rsid w:val="1A555BA0"/>
    <w:rsid w:val="1A70565B"/>
    <w:rsid w:val="1A7A27CB"/>
    <w:rsid w:val="1A930EF5"/>
    <w:rsid w:val="1B5C596D"/>
    <w:rsid w:val="1DCD88A9"/>
    <w:rsid w:val="1E11477C"/>
    <w:rsid w:val="1E7F595E"/>
    <w:rsid w:val="1F605735"/>
    <w:rsid w:val="1FAA1198"/>
    <w:rsid w:val="20606E9D"/>
    <w:rsid w:val="20B848D3"/>
    <w:rsid w:val="21254020"/>
    <w:rsid w:val="2149210D"/>
    <w:rsid w:val="216D245D"/>
    <w:rsid w:val="226513C9"/>
    <w:rsid w:val="22F73B45"/>
    <w:rsid w:val="233A7FAB"/>
    <w:rsid w:val="23CB0FF5"/>
    <w:rsid w:val="23EF333C"/>
    <w:rsid w:val="24296C72"/>
    <w:rsid w:val="257F1390"/>
    <w:rsid w:val="261D72F9"/>
    <w:rsid w:val="27755293"/>
    <w:rsid w:val="28795E31"/>
    <w:rsid w:val="288629B7"/>
    <w:rsid w:val="28F246F3"/>
    <w:rsid w:val="296946F0"/>
    <w:rsid w:val="29996215"/>
    <w:rsid w:val="2A65738E"/>
    <w:rsid w:val="2AE0676D"/>
    <w:rsid w:val="2B21446C"/>
    <w:rsid w:val="2B5A00C3"/>
    <w:rsid w:val="2BB927F9"/>
    <w:rsid w:val="2C4A6B37"/>
    <w:rsid w:val="2D584A25"/>
    <w:rsid w:val="2D617625"/>
    <w:rsid w:val="2DCB4AA6"/>
    <w:rsid w:val="2E576D84"/>
    <w:rsid w:val="2F4B01A5"/>
    <w:rsid w:val="2F755C8A"/>
    <w:rsid w:val="2F7E2422"/>
    <w:rsid w:val="30DF309C"/>
    <w:rsid w:val="3152630A"/>
    <w:rsid w:val="318D3FD5"/>
    <w:rsid w:val="31941266"/>
    <w:rsid w:val="31F421E0"/>
    <w:rsid w:val="32A41A99"/>
    <w:rsid w:val="33BD7A0C"/>
    <w:rsid w:val="347C39F9"/>
    <w:rsid w:val="34C651CB"/>
    <w:rsid w:val="355D635D"/>
    <w:rsid w:val="36554EDA"/>
    <w:rsid w:val="36BC6419"/>
    <w:rsid w:val="37C14C62"/>
    <w:rsid w:val="38A02B1A"/>
    <w:rsid w:val="39FC49D8"/>
    <w:rsid w:val="3A246F59"/>
    <w:rsid w:val="3B44206B"/>
    <w:rsid w:val="3B847DCB"/>
    <w:rsid w:val="3BC9171A"/>
    <w:rsid w:val="3C26687D"/>
    <w:rsid w:val="3C2B3DBA"/>
    <w:rsid w:val="3D292A92"/>
    <w:rsid w:val="3D5B7E82"/>
    <w:rsid w:val="3DA518A9"/>
    <w:rsid w:val="3EAF44FF"/>
    <w:rsid w:val="3EEA2F2A"/>
    <w:rsid w:val="3F1E7077"/>
    <w:rsid w:val="3FE9E92F"/>
    <w:rsid w:val="3FFEA4A0"/>
    <w:rsid w:val="3FFEBEA8"/>
    <w:rsid w:val="406513FE"/>
    <w:rsid w:val="408F6D1E"/>
    <w:rsid w:val="40ED4F53"/>
    <w:rsid w:val="41410DFB"/>
    <w:rsid w:val="42AA0386"/>
    <w:rsid w:val="42E21C31"/>
    <w:rsid w:val="42EB6B60"/>
    <w:rsid w:val="43702F09"/>
    <w:rsid w:val="43AC6B1B"/>
    <w:rsid w:val="43B94A6B"/>
    <w:rsid w:val="43B94F78"/>
    <w:rsid w:val="44A40821"/>
    <w:rsid w:val="44B9606B"/>
    <w:rsid w:val="45800D0C"/>
    <w:rsid w:val="45D36916"/>
    <w:rsid w:val="460F11AC"/>
    <w:rsid w:val="4747129B"/>
    <w:rsid w:val="48667975"/>
    <w:rsid w:val="4916197B"/>
    <w:rsid w:val="49B43247"/>
    <w:rsid w:val="49D43DF2"/>
    <w:rsid w:val="4A7B72F5"/>
    <w:rsid w:val="4B8413FD"/>
    <w:rsid w:val="4BF83930"/>
    <w:rsid w:val="4BFD0DE1"/>
    <w:rsid w:val="4C1F6CEA"/>
    <w:rsid w:val="4C844634"/>
    <w:rsid w:val="4D3073ED"/>
    <w:rsid w:val="4EC232DB"/>
    <w:rsid w:val="4EDB63EB"/>
    <w:rsid w:val="4F165ACE"/>
    <w:rsid w:val="4F344196"/>
    <w:rsid w:val="4F41280A"/>
    <w:rsid w:val="4F6831CD"/>
    <w:rsid w:val="4FBBFFEC"/>
    <w:rsid w:val="4FC540E8"/>
    <w:rsid w:val="4FDE236A"/>
    <w:rsid w:val="502D2C76"/>
    <w:rsid w:val="50D32A98"/>
    <w:rsid w:val="51520141"/>
    <w:rsid w:val="5307019F"/>
    <w:rsid w:val="5368443B"/>
    <w:rsid w:val="53824FDE"/>
    <w:rsid w:val="55020BFF"/>
    <w:rsid w:val="55134F31"/>
    <w:rsid w:val="5519761B"/>
    <w:rsid w:val="552A325F"/>
    <w:rsid w:val="554A6449"/>
    <w:rsid w:val="55735655"/>
    <w:rsid w:val="55861848"/>
    <w:rsid w:val="55D856DD"/>
    <w:rsid w:val="560A1D98"/>
    <w:rsid w:val="5677275A"/>
    <w:rsid w:val="56F65748"/>
    <w:rsid w:val="57043BE2"/>
    <w:rsid w:val="57841EC1"/>
    <w:rsid w:val="579E4D11"/>
    <w:rsid w:val="57B00BDB"/>
    <w:rsid w:val="589F29FA"/>
    <w:rsid w:val="58B40A8C"/>
    <w:rsid w:val="58BC4FBB"/>
    <w:rsid w:val="58DD03F6"/>
    <w:rsid w:val="58DF1D46"/>
    <w:rsid w:val="5931649C"/>
    <w:rsid w:val="597B51F0"/>
    <w:rsid w:val="59BA6EB8"/>
    <w:rsid w:val="5B7415E6"/>
    <w:rsid w:val="5BF846A1"/>
    <w:rsid w:val="5CE034AE"/>
    <w:rsid w:val="5D0F4100"/>
    <w:rsid w:val="5D911DAB"/>
    <w:rsid w:val="5E183F2C"/>
    <w:rsid w:val="5E4A2C9B"/>
    <w:rsid w:val="5EC47366"/>
    <w:rsid w:val="5EF62736"/>
    <w:rsid w:val="5F2147AF"/>
    <w:rsid w:val="5FDFF341"/>
    <w:rsid w:val="60192B21"/>
    <w:rsid w:val="6045102A"/>
    <w:rsid w:val="60857C17"/>
    <w:rsid w:val="60B95102"/>
    <w:rsid w:val="60BC08EC"/>
    <w:rsid w:val="611F078F"/>
    <w:rsid w:val="612806DC"/>
    <w:rsid w:val="61A60ADB"/>
    <w:rsid w:val="628E7C5A"/>
    <w:rsid w:val="6293511D"/>
    <w:rsid w:val="63397509"/>
    <w:rsid w:val="63CE5BCA"/>
    <w:rsid w:val="64050106"/>
    <w:rsid w:val="64724509"/>
    <w:rsid w:val="64AE7820"/>
    <w:rsid w:val="651816BB"/>
    <w:rsid w:val="653B2028"/>
    <w:rsid w:val="656C203B"/>
    <w:rsid w:val="65AC4A64"/>
    <w:rsid w:val="65BF2E2F"/>
    <w:rsid w:val="65E42856"/>
    <w:rsid w:val="66C9029A"/>
    <w:rsid w:val="674768BC"/>
    <w:rsid w:val="675E200A"/>
    <w:rsid w:val="67695976"/>
    <w:rsid w:val="67EA4E93"/>
    <w:rsid w:val="680A383B"/>
    <w:rsid w:val="685C2BD2"/>
    <w:rsid w:val="688A5BA2"/>
    <w:rsid w:val="690426D7"/>
    <w:rsid w:val="69605F59"/>
    <w:rsid w:val="696270BD"/>
    <w:rsid w:val="69AA1D6C"/>
    <w:rsid w:val="6A2E4F5B"/>
    <w:rsid w:val="6AF06076"/>
    <w:rsid w:val="6B0E2F59"/>
    <w:rsid w:val="6C3F3BE4"/>
    <w:rsid w:val="6D97577B"/>
    <w:rsid w:val="6E485F1D"/>
    <w:rsid w:val="6E5A5C53"/>
    <w:rsid w:val="6EA81E1D"/>
    <w:rsid w:val="6F7A16E9"/>
    <w:rsid w:val="700A032B"/>
    <w:rsid w:val="703D5A1C"/>
    <w:rsid w:val="715E3A26"/>
    <w:rsid w:val="71813EA1"/>
    <w:rsid w:val="71BC4830"/>
    <w:rsid w:val="71C11998"/>
    <w:rsid w:val="72455439"/>
    <w:rsid w:val="725757DF"/>
    <w:rsid w:val="726C0F5A"/>
    <w:rsid w:val="72D50498"/>
    <w:rsid w:val="72F24293"/>
    <w:rsid w:val="7366FF27"/>
    <w:rsid w:val="74061605"/>
    <w:rsid w:val="745451DA"/>
    <w:rsid w:val="74AB74C2"/>
    <w:rsid w:val="7514304A"/>
    <w:rsid w:val="75441FC5"/>
    <w:rsid w:val="75B05449"/>
    <w:rsid w:val="767D0F1F"/>
    <w:rsid w:val="771D6A96"/>
    <w:rsid w:val="77923E6C"/>
    <w:rsid w:val="791910FA"/>
    <w:rsid w:val="795A480C"/>
    <w:rsid w:val="7968625B"/>
    <w:rsid w:val="79863F59"/>
    <w:rsid w:val="7A634533"/>
    <w:rsid w:val="7A7B50B2"/>
    <w:rsid w:val="7B353352"/>
    <w:rsid w:val="7C85389C"/>
    <w:rsid w:val="7C9E2D75"/>
    <w:rsid w:val="7CFAFBD1"/>
    <w:rsid w:val="7D424CD4"/>
    <w:rsid w:val="7D62185E"/>
    <w:rsid w:val="7DA52C04"/>
    <w:rsid w:val="7DA56991"/>
    <w:rsid w:val="7E230C7F"/>
    <w:rsid w:val="7E6C4A74"/>
    <w:rsid w:val="7EDB62B6"/>
    <w:rsid w:val="7EDE1C8B"/>
    <w:rsid w:val="7EF165A6"/>
    <w:rsid w:val="7FD15524"/>
    <w:rsid w:val="7FE717CC"/>
    <w:rsid w:val="7FF85D98"/>
    <w:rsid w:val="9EB7198D"/>
    <w:rsid w:val="AF76A5B7"/>
    <w:rsid w:val="BFF7B234"/>
    <w:rsid w:val="E3747852"/>
    <w:rsid w:val="F7F77F0B"/>
    <w:rsid w:val="FBBF4374"/>
    <w:rsid w:val="FBF59DF7"/>
    <w:rsid w:val="FFF7B495"/>
    <w:rsid w:val="FFFB3B2F"/>
    <w:rsid w:val="FFFFC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iPriority="9" w:semiHidden="0" w:name="footnote text"/>
    <w:lsdException w:qFormat="1" w:uiPriority="99" w:semiHidden="0" w:name="annotation text"/>
    <w:lsdException w:qFormat="1" w:uiPriority="0" w:semiHidden="0" w:name="header"/>
    <w:lsdException w:qFormat="1"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仿宋" w:cstheme="minorBidi"/>
      <w:kern w:val="2"/>
      <w:sz w:val="24"/>
      <w:szCs w:val="22"/>
      <w:lang w:val="en-US" w:eastAsia="zh-CN" w:bidi="ar-SA"/>
    </w:rPr>
  </w:style>
  <w:style w:type="paragraph" w:styleId="2">
    <w:name w:val="heading 1"/>
    <w:basedOn w:val="1"/>
    <w:next w:val="1"/>
    <w:link w:val="87"/>
    <w:autoRedefine/>
    <w:qFormat/>
    <w:uiPriority w:val="9"/>
    <w:pPr>
      <w:numPr>
        <w:ilvl w:val="0"/>
        <w:numId w:val="1"/>
      </w:numPr>
      <w:ind w:left="0" w:firstLine="0" w:firstLineChars="0"/>
      <w:outlineLvl w:val="0"/>
    </w:pPr>
    <w:rPr>
      <w:rFonts w:cs="黑体"/>
      <w:b/>
      <w:bCs/>
      <w:kern w:val="0"/>
      <w:sz w:val="32"/>
      <w:szCs w:val="32"/>
    </w:rPr>
  </w:style>
  <w:style w:type="paragraph" w:styleId="3">
    <w:name w:val="heading 2"/>
    <w:basedOn w:val="4"/>
    <w:next w:val="1"/>
    <w:link w:val="94"/>
    <w:autoRedefine/>
    <w:qFormat/>
    <w:uiPriority w:val="9"/>
    <w:pPr>
      <w:widowControl/>
      <w:numPr>
        <w:ilvl w:val="1"/>
        <w:numId w:val="1"/>
      </w:numPr>
      <w:spacing w:before="120" w:after="120"/>
      <w:ind w:firstLine="0" w:firstLineChars="0"/>
      <w:contextualSpacing/>
      <w:outlineLvl w:val="1"/>
    </w:pPr>
    <w:rPr>
      <w:rFonts w:cs="Times New Roman"/>
      <w:b/>
      <w:bCs/>
      <w:color w:val="000000" w:themeColor="text1"/>
      <w:kern w:val="0"/>
      <w:sz w:val="28"/>
      <w:szCs w:val="24"/>
      <w14:textFill>
        <w14:solidFill>
          <w14:schemeClr w14:val="tx1"/>
        </w14:solidFill>
      </w14:textFill>
    </w:rPr>
  </w:style>
  <w:style w:type="paragraph" w:styleId="5">
    <w:name w:val="heading 3"/>
    <w:basedOn w:val="1"/>
    <w:next w:val="6"/>
    <w:link w:val="95"/>
    <w:qFormat/>
    <w:uiPriority w:val="9"/>
    <w:pPr>
      <w:widowControl/>
      <w:numPr>
        <w:ilvl w:val="2"/>
        <w:numId w:val="1"/>
      </w:numPr>
      <w:ind w:left="0" w:firstLine="0" w:firstLineChars="0"/>
      <w:contextualSpacing/>
      <w:outlineLvl w:val="2"/>
    </w:pPr>
    <w:rPr>
      <w:rFonts w:cs="Times New Roman"/>
      <w:b/>
      <w:bCs/>
      <w:color w:val="000000" w:themeColor="text1"/>
      <w:kern w:val="0"/>
      <w:szCs w:val="24"/>
      <w14:textFill>
        <w14:solidFill>
          <w14:schemeClr w14:val="tx1"/>
        </w14:solidFill>
      </w14:textFill>
    </w:rPr>
  </w:style>
  <w:style w:type="paragraph" w:styleId="7">
    <w:name w:val="heading 4"/>
    <w:basedOn w:val="1"/>
    <w:next w:val="1"/>
    <w:link w:val="96"/>
    <w:autoRedefine/>
    <w:unhideWhenUsed/>
    <w:qFormat/>
    <w:uiPriority w:val="9"/>
    <w:pPr>
      <w:numPr>
        <w:ilvl w:val="3"/>
        <w:numId w:val="1"/>
      </w:numPr>
      <w:ind w:left="0" w:firstLine="0" w:firstLineChars="0"/>
      <w:outlineLvl w:val="3"/>
    </w:pPr>
    <w:rPr>
      <w:rFonts w:cstheme="majorBidi"/>
      <w:b/>
      <w:bCs/>
      <w:szCs w:val="28"/>
    </w:rPr>
  </w:style>
  <w:style w:type="paragraph" w:styleId="8">
    <w:name w:val="heading 5"/>
    <w:basedOn w:val="1"/>
    <w:next w:val="1"/>
    <w:link w:val="98"/>
    <w:autoRedefine/>
    <w:unhideWhenUsed/>
    <w:qFormat/>
    <w:uiPriority w:val="9"/>
    <w:pPr>
      <w:keepNext/>
      <w:keepLines/>
      <w:numPr>
        <w:ilvl w:val="4"/>
        <w:numId w:val="2"/>
      </w:numPr>
      <w:spacing w:before="280" w:after="290" w:line="376" w:lineRule="auto"/>
      <w:ind w:firstLine="0" w:firstLineChars="0"/>
      <w:outlineLvl w:val="4"/>
    </w:pPr>
    <w:rPr>
      <w:b/>
      <w:bCs/>
      <w:sz w:val="28"/>
      <w:szCs w:val="28"/>
    </w:rPr>
  </w:style>
  <w:style w:type="paragraph" w:styleId="9">
    <w:name w:val="heading 6"/>
    <w:basedOn w:val="1"/>
    <w:next w:val="1"/>
    <w:link w:val="100"/>
    <w:autoRedefine/>
    <w:semiHidden/>
    <w:unhideWhenUsed/>
    <w:qFormat/>
    <w:uiPriority w:val="9"/>
    <w:pPr>
      <w:keepNext/>
      <w:keepLines/>
      <w:numPr>
        <w:ilvl w:val="5"/>
        <w:numId w:val="2"/>
      </w:numPr>
      <w:spacing w:before="240" w:after="64" w:line="320" w:lineRule="auto"/>
      <w:ind w:firstLine="0" w:firstLineChars="0"/>
      <w:outlineLvl w:val="5"/>
    </w:pPr>
    <w:rPr>
      <w:rFonts w:asciiTheme="majorHAnsi" w:hAnsiTheme="majorHAnsi" w:eastAsiaTheme="majorEastAsia" w:cstheme="majorBidi"/>
      <w:b/>
      <w:bCs/>
      <w:szCs w:val="24"/>
    </w:rPr>
  </w:style>
  <w:style w:type="paragraph" w:styleId="10">
    <w:name w:val="heading 7"/>
    <w:basedOn w:val="1"/>
    <w:next w:val="1"/>
    <w:link w:val="102"/>
    <w:autoRedefine/>
    <w:semiHidden/>
    <w:unhideWhenUsed/>
    <w:qFormat/>
    <w:uiPriority w:val="9"/>
    <w:pPr>
      <w:keepNext/>
      <w:keepLines/>
      <w:numPr>
        <w:ilvl w:val="6"/>
        <w:numId w:val="2"/>
      </w:numPr>
      <w:spacing w:before="240" w:after="64" w:line="320" w:lineRule="auto"/>
      <w:ind w:firstLine="0" w:firstLineChars="0"/>
      <w:outlineLvl w:val="6"/>
    </w:pPr>
    <w:rPr>
      <w:b/>
      <w:bCs/>
      <w:szCs w:val="24"/>
    </w:rPr>
  </w:style>
  <w:style w:type="paragraph" w:styleId="11">
    <w:name w:val="heading 8"/>
    <w:basedOn w:val="1"/>
    <w:next w:val="1"/>
    <w:link w:val="104"/>
    <w:autoRedefine/>
    <w:semiHidden/>
    <w:unhideWhenUsed/>
    <w:qFormat/>
    <w:uiPriority w:val="9"/>
    <w:pPr>
      <w:keepNext/>
      <w:keepLines/>
      <w:numPr>
        <w:ilvl w:val="7"/>
        <w:numId w:val="2"/>
      </w:numPr>
      <w:spacing w:before="240" w:after="64" w:line="320" w:lineRule="auto"/>
      <w:ind w:firstLine="0" w:firstLineChars="0"/>
      <w:outlineLvl w:val="7"/>
    </w:pPr>
    <w:rPr>
      <w:rFonts w:asciiTheme="majorHAnsi" w:hAnsiTheme="majorHAnsi" w:eastAsiaTheme="majorEastAsia" w:cstheme="majorBidi"/>
      <w:szCs w:val="24"/>
    </w:rPr>
  </w:style>
  <w:style w:type="paragraph" w:styleId="12">
    <w:name w:val="heading 9"/>
    <w:basedOn w:val="1"/>
    <w:next w:val="1"/>
    <w:link w:val="106"/>
    <w:autoRedefine/>
    <w:semiHidden/>
    <w:unhideWhenUsed/>
    <w:qFormat/>
    <w:uiPriority w:val="9"/>
    <w:pPr>
      <w:keepNext/>
      <w:keepLines/>
      <w:numPr>
        <w:ilvl w:val="8"/>
        <w:numId w:val="2"/>
      </w:numPr>
      <w:spacing w:before="240" w:after="64" w:line="320" w:lineRule="auto"/>
      <w:ind w:firstLine="0" w:firstLineChars="0"/>
      <w:outlineLvl w:val="8"/>
    </w:pPr>
    <w:rPr>
      <w:rFonts w:asciiTheme="majorHAnsi" w:hAnsiTheme="majorHAnsi" w:eastAsiaTheme="majorEastAsia" w:cstheme="majorBidi"/>
      <w:sz w:val="21"/>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link w:val="93"/>
    <w:autoRedefine/>
    <w:qFormat/>
    <w:uiPriority w:val="34"/>
    <w:pPr>
      <w:ind w:firstLine="420"/>
    </w:pPr>
  </w:style>
  <w:style w:type="paragraph" w:styleId="6">
    <w:name w:val="Body Text"/>
    <w:basedOn w:val="1"/>
    <w:link w:val="48"/>
    <w:autoRedefine/>
    <w:qFormat/>
    <w:uiPriority w:val="0"/>
    <w:pPr>
      <w:widowControl/>
      <w:spacing w:before="180" w:after="180" w:line="240" w:lineRule="auto"/>
      <w:jc w:val="left"/>
    </w:pPr>
    <w:rPr>
      <w:rFonts w:ascii="Cambria" w:hAnsi="Cambria" w:eastAsia="宋体"/>
      <w:kern w:val="0"/>
      <w:szCs w:val="24"/>
      <w:lang w:eastAsia="en-US"/>
    </w:rPr>
  </w:style>
  <w:style w:type="paragraph" w:styleId="13">
    <w:name w:val="toc 7"/>
    <w:basedOn w:val="1"/>
    <w:next w:val="1"/>
    <w:autoRedefine/>
    <w:unhideWhenUsed/>
    <w:qFormat/>
    <w:uiPriority w:val="39"/>
    <w:pPr>
      <w:spacing w:after="160" w:line="278" w:lineRule="auto"/>
      <w:ind w:left="2520" w:leftChars="1200" w:firstLine="0" w:firstLineChars="0"/>
      <w:jc w:val="left"/>
    </w:pPr>
    <w:rPr>
      <w:rFonts w:asciiTheme="minorHAnsi" w:hAnsiTheme="minorHAnsi" w:eastAsiaTheme="minorEastAsia"/>
      <w:sz w:val="22"/>
      <w:szCs w:val="24"/>
      <w14:ligatures w14:val="standardContextual"/>
    </w:rPr>
  </w:style>
  <w:style w:type="paragraph" w:styleId="14">
    <w:name w:val="caption"/>
    <w:basedOn w:val="1"/>
    <w:link w:val="41"/>
    <w:autoRedefine/>
    <w:qFormat/>
    <w:uiPriority w:val="0"/>
    <w:pPr>
      <w:widowControl/>
      <w:spacing w:after="120" w:line="240" w:lineRule="auto"/>
      <w:ind w:firstLine="480"/>
      <w:jc w:val="center"/>
    </w:pPr>
    <w:rPr>
      <w:rFonts w:ascii="Cambria" w:hAnsi="Cambria" w:eastAsia="宋体"/>
      <w:kern w:val="0"/>
      <w:szCs w:val="24"/>
    </w:rPr>
  </w:style>
  <w:style w:type="paragraph" w:styleId="15">
    <w:name w:val="annotation text"/>
    <w:basedOn w:val="1"/>
    <w:link w:val="115"/>
    <w:autoRedefine/>
    <w:unhideWhenUsed/>
    <w:qFormat/>
    <w:uiPriority w:val="99"/>
    <w:pPr>
      <w:jc w:val="left"/>
    </w:pPr>
  </w:style>
  <w:style w:type="paragraph" w:styleId="16">
    <w:name w:val="Block Text"/>
    <w:basedOn w:val="6"/>
    <w:next w:val="6"/>
    <w:autoRedefine/>
    <w:unhideWhenUsed/>
    <w:qFormat/>
    <w:uiPriority w:val="9"/>
    <w:pPr>
      <w:spacing w:before="100" w:after="100"/>
      <w:ind w:left="480" w:right="480"/>
    </w:pPr>
  </w:style>
  <w:style w:type="paragraph" w:styleId="17">
    <w:name w:val="toc 5"/>
    <w:basedOn w:val="1"/>
    <w:next w:val="1"/>
    <w:autoRedefine/>
    <w:unhideWhenUsed/>
    <w:qFormat/>
    <w:uiPriority w:val="39"/>
    <w:pPr>
      <w:spacing w:after="160" w:line="278" w:lineRule="auto"/>
      <w:ind w:left="1680" w:leftChars="800" w:firstLine="0" w:firstLineChars="0"/>
      <w:jc w:val="left"/>
    </w:pPr>
    <w:rPr>
      <w:rFonts w:asciiTheme="minorHAnsi" w:hAnsiTheme="minorHAnsi" w:eastAsiaTheme="minorEastAsia"/>
      <w:sz w:val="22"/>
      <w:szCs w:val="24"/>
      <w14:ligatures w14:val="standardContextual"/>
    </w:rPr>
  </w:style>
  <w:style w:type="paragraph" w:styleId="18">
    <w:name w:val="toc 3"/>
    <w:basedOn w:val="1"/>
    <w:next w:val="1"/>
    <w:autoRedefine/>
    <w:unhideWhenUsed/>
    <w:qFormat/>
    <w:uiPriority w:val="39"/>
    <w:pPr>
      <w:tabs>
        <w:tab w:val="left" w:pos="1830"/>
        <w:tab w:val="right" w:leader="dot" w:pos="8630"/>
      </w:tabs>
      <w:ind w:left="960" w:leftChars="400" w:firstLine="314" w:firstLineChars="131"/>
    </w:pPr>
  </w:style>
  <w:style w:type="paragraph" w:styleId="19">
    <w:name w:val="toc 8"/>
    <w:basedOn w:val="1"/>
    <w:next w:val="1"/>
    <w:autoRedefine/>
    <w:unhideWhenUsed/>
    <w:qFormat/>
    <w:uiPriority w:val="39"/>
    <w:pPr>
      <w:spacing w:after="160" w:line="278" w:lineRule="auto"/>
      <w:ind w:left="2940" w:leftChars="1400" w:firstLine="0" w:firstLineChars="0"/>
      <w:jc w:val="left"/>
    </w:pPr>
    <w:rPr>
      <w:rFonts w:asciiTheme="minorHAnsi" w:hAnsiTheme="minorHAnsi" w:eastAsiaTheme="minorEastAsia"/>
      <w:sz w:val="22"/>
      <w:szCs w:val="24"/>
      <w14:ligatures w14:val="standardContextual"/>
    </w:rPr>
  </w:style>
  <w:style w:type="paragraph" w:styleId="20">
    <w:name w:val="Date"/>
    <w:next w:val="6"/>
    <w:link w:val="117"/>
    <w:autoRedefine/>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21">
    <w:name w:val="Balloon Text"/>
    <w:basedOn w:val="1"/>
    <w:link w:val="114"/>
    <w:autoRedefine/>
    <w:unhideWhenUsed/>
    <w:qFormat/>
    <w:uiPriority w:val="99"/>
    <w:pPr>
      <w:spacing w:line="240" w:lineRule="auto"/>
    </w:pPr>
    <w:rPr>
      <w:sz w:val="18"/>
      <w:szCs w:val="18"/>
    </w:rPr>
  </w:style>
  <w:style w:type="paragraph" w:styleId="22">
    <w:name w:val="footer"/>
    <w:basedOn w:val="1"/>
    <w:link w:val="46"/>
    <w:autoRedefine/>
    <w:unhideWhenUsed/>
    <w:qFormat/>
    <w:uiPriority w:val="0"/>
    <w:pPr>
      <w:tabs>
        <w:tab w:val="center" w:pos="4153"/>
        <w:tab w:val="right" w:pos="8306"/>
      </w:tabs>
      <w:snapToGrid w:val="0"/>
      <w:jc w:val="left"/>
    </w:pPr>
    <w:rPr>
      <w:sz w:val="18"/>
      <w:szCs w:val="18"/>
    </w:rPr>
  </w:style>
  <w:style w:type="paragraph" w:styleId="23">
    <w:name w:val="header"/>
    <w:basedOn w:val="1"/>
    <w:link w:val="45"/>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autoRedefine/>
    <w:unhideWhenUsed/>
    <w:qFormat/>
    <w:uiPriority w:val="39"/>
    <w:pPr>
      <w:tabs>
        <w:tab w:val="left" w:pos="810"/>
        <w:tab w:val="right" w:leader="dot" w:pos="8630"/>
      </w:tabs>
      <w:ind w:firstLine="482"/>
    </w:pPr>
    <w:rPr>
      <w:b/>
    </w:rPr>
  </w:style>
  <w:style w:type="paragraph" w:styleId="25">
    <w:name w:val="toc 4"/>
    <w:basedOn w:val="1"/>
    <w:next w:val="1"/>
    <w:autoRedefine/>
    <w:unhideWhenUsed/>
    <w:qFormat/>
    <w:uiPriority w:val="39"/>
    <w:pPr>
      <w:spacing w:after="160" w:line="278" w:lineRule="auto"/>
      <w:ind w:left="1260" w:leftChars="600" w:firstLine="0" w:firstLineChars="0"/>
      <w:jc w:val="left"/>
    </w:pPr>
    <w:rPr>
      <w:rFonts w:asciiTheme="minorHAnsi" w:hAnsiTheme="minorHAnsi" w:eastAsiaTheme="minorEastAsia"/>
      <w:sz w:val="22"/>
      <w:szCs w:val="24"/>
      <w14:ligatures w14:val="standardContextual"/>
    </w:rPr>
  </w:style>
  <w:style w:type="paragraph" w:styleId="26">
    <w:name w:val="Subtitle"/>
    <w:next w:val="1"/>
    <w:link w:val="112"/>
    <w:autoRedefine/>
    <w:qFormat/>
    <w:uiPriority w:val="0"/>
    <w:pPr>
      <w:numPr>
        <w:ilvl w:val="3"/>
        <w:numId w:val="3"/>
      </w:numPr>
      <w:spacing w:before="260" w:after="260" w:line="415" w:lineRule="auto"/>
      <w:outlineLvl w:val="2"/>
    </w:pPr>
    <w:rPr>
      <w:rFonts w:ascii="黑体" w:hAnsi="黑体" w:eastAsia="黑体" w:cstheme="minorBidi"/>
      <w:b/>
      <w:bCs/>
      <w:kern w:val="28"/>
      <w:sz w:val="24"/>
      <w:szCs w:val="32"/>
      <w:lang w:val="en-US" w:eastAsia="zh-CN" w:bidi="ar-SA"/>
    </w:rPr>
  </w:style>
  <w:style w:type="paragraph" w:styleId="27">
    <w:name w:val="footnote text"/>
    <w:basedOn w:val="1"/>
    <w:link w:val="113"/>
    <w:autoRedefine/>
    <w:unhideWhenUsed/>
    <w:qFormat/>
    <w:uiPriority w:val="9"/>
    <w:pPr>
      <w:widowControl/>
      <w:spacing w:after="200" w:line="240" w:lineRule="auto"/>
      <w:jc w:val="left"/>
    </w:pPr>
    <w:rPr>
      <w:rFonts w:ascii="Cambria" w:hAnsi="Cambria" w:eastAsia="宋体"/>
      <w:kern w:val="0"/>
      <w:szCs w:val="24"/>
      <w:lang w:eastAsia="en-US"/>
    </w:rPr>
  </w:style>
  <w:style w:type="paragraph" w:styleId="28">
    <w:name w:val="toc 6"/>
    <w:basedOn w:val="1"/>
    <w:next w:val="1"/>
    <w:autoRedefine/>
    <w:unhideWhenUsed/>
    <w:qFormat/>
    <w:uiPriority w:val="39"/>
    <w:pPr>
      <w:spacing w:after="160" w:line="278" w:lineRule="auto"/>
      <w:ind w:left="2100" w:leftChars="1000" w:firstLine="0" w:firstLineChars="0"/>
      <w:jc w:val="left"/>
    </w:pPr>
    <w:rPr>
      <w:rFonts w:asciiTheme="minorHAnsi" w:hAnsiTheme="minorHAnsi" w:eastAsiaTheme="minorEastAsia"/>
      <w:sz w:val="22"/>
      <w:szCs w:val="24"/>
      <w14:ligatures w14:val="standardContextual"/>
    </w:rPr>
  </w:style>
  <w:style w:type="paragraph" w:styleId="29">
    <w:name w:val="toc 2"/>
    <w:basedOn w:val="1"/>
    <w:next w:val="1"/>
    <w:autoRedefine/>
    <w:unhideWhenUsed/>
    <w:qFormat/>
    <w:uiPriority w:val="39"/>
    <w:pPr>
      <w:tabs>
        <w:tab w:val="left" w:pos="1200"/>
        <w:tab w:val="right" w:leader="dot" w:pos="8630"/>
      </w:tabs>
      <w:ind w:left="480" w:leftChars="200" w:firstLine="370" w:firstLineChars="154"/>
    </w:pPr>
  </w:style>
  <w:style w:type="paragraph" w:styleId="30">
    <w:name w:val="toc 9"/>
    <w:basedOn w:val="1"/>
    <w:next w:val="1"/>
    <w:autoRedefine/>
    <w:unhideWhenUsed/>
    <w:qFormat/>
    <w:uiPriority w:val="39"/>
    <w:pPr>
      <w:spacing w:after="160" w:line="278" w:lineRule="auto"/>
      <w:ind w:left="3360" w:leftChars="1600" w:firstLine="0" w:firstLineChars="0"/>
      <w:jc w:val="left"/>
    </w:pPr>
    <w:rPr>
      <w:rFonts w:asciiTheme="minorHAnsi" w:hAnsiTheme="minorHAnsi" w:eastAsiaTheme="minorEastAsia"/>
      <w:sz w:val="22"/>
      <w:szCs w:val="24"/>
      <w14:ligatures w14:val="standardContextual"/>
    </w:rPr>
  </w:style>
  <w:style w:type="paragraph" w:styleId="31">
    <w:name w:val="Normal (Web)"/>
    <w:basedOn w:val="1"/>
    <w:autoRedefine/>
    <w:semiHidden/>
    <w:unhideWhenUsed/>
    <w:qFormat/>
    <w:uiPriority w:val="99"/>
    <w:pPr>
      <w:spacing w:before="100" w:beforeAutospacing="1" w:after="100" w:afterAutospacing="1"/>
    </w:pPr>
    <w:rPr>
      <w:rFonts w:ascii="宋体" w:hAnsi="宋体" w:eastAsia="宋体" w:cs="宋体"/>
    </w:rPr>
  </w:style>
  <w:style w:type="paragraph" w:styleId="32">
    <w:name w:val="Title"/>
    <w:next w:val="1"/>
    <w:link w:val="108"/>
    <w:autoRedefine/>
    <w:qFormat/>
    <w:uiPriority w:val="0"/>
    <w:pPr>
      <w:numPr>
        <w:ilvl w:val="2"/>
        <w:numId w:val="3"/>
      </w:numPr>
      <w:spacing w:before="260" w:after="260" w:line="415" w:lineRule="auto"/>
      <w:outlineLvl w:val="1"/>
    </w:pPr>
    <w:rPr>
      <w:rFonts w:ascii="黑体" w:hAnsi="黑体" w:eastAsia="黑体" w:cstheme="majorBidi"/>
      <w:b/>
      <w:bCs/>
      <w:kern w:val="2"/>
      <w:sz w:val="28"/>
      <w:szCs w:val="32"/>
      <w:lang w:val="en-US" w:eastAsia="zh-CN" w:bidi="ar-SA"/>
    </w:rPr>
  </w:style>
  <w:style w:type="paragraph" w:styleId="33">
    <w:name w:val="annotation subject"/>
    <w:basedOn w:val="15"/>
    <w:next w:val="15"/>
    <w:link w:val="116"/>
    <w:autoRedefine/>
    <w:unhideWhenUsed/>
    <w:qFormat/>
    <w:uiPriority w:val="99"/>
    <w:rPr>
      <w:b/>
      <w:bCs/>
    </w:rPr>
  </w:style>
  <w:style w:type="table" w:styleId="35">
    <w:name w:val="Table Grid"/>
    <w:basedOn w:val="34"/>
    <w:autoRedefine/>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FollowedHyperlink"/>
    <w:basedOn w:val="36"/>
    <w:autoRedefine/>
    <w:qFormat/>
    <w:uiPriority w:val="0"/>
    <w:rPr>
      <w:color w:val="954F72"/>
      <w:u w:val="single"/>
    </w:rPr>
  </w:style>
  <w:style w:type="character" w:styleId="38">
    <w:name w:val="Hyperlink"/>
    <w:basedOn w:val="36"/>
    <w:autoRedefine/>
    <w:unhideWhenUsed/>
    <w:qFormat/>
    <w:uiPriority w:val="99"/>
    <w:rPr>
      <w:color w:val="0026E5" w:themeColor="hyperlink"/>
      <w:u w:val="single"/>
      <w14:textFill>
        <w14:solidFill>
          <w14:schemeClr w14:val="hlink"/>
        </w14:solidFill>
      </w14:textFill>
    </w:rPr>
  </w:style>
  <w:style w:type="character" w:styleId="39">
    <w:name w:val="annotation reference"/>
    <w:basedOn w:val="36"/>
    <w:autoRedefine/>
    <w:unhideWhenUsed/>
    <w:qFormat/>
    <w:uiPriority w:val="99"/>
    <w:rPr>
      <w:sz w:val="21"/>
      <w:szCs w:val="21"/>
    </w:rPr>
  </w:style>
  <w:style w:type="character" w:styleId="40">
    <w:name w:val="footnote reference"/>
    <w:basedOn w:val="41"/>
    <w:autoRedefine/>
    <w:qFormat/>
    <w:uiPriority w:val="0"/>
    <w:rPr>
      <w:rFonts w:ascii="Cambria" w:hAnsi="Cambria" w:eastAsia="宋体" w:cstheme="minorBidi"/>
      <w:kern w:val="0"/>
      <w:sz w:val="24"/>
      <w:szCs w:val="24"/>
      <w:vertAlign w:val="superscript"/>
      <w:lang w:eastAsia="en-US"/>
    </w:rPr>
  </w:style>
  <w:style w:type="character" w:customStyle="1" w:styleId="41">
    <w:name w:val="题注 字符"/>
    <w:basedOn w:val="36"/>
    <w:link w:val="14"/>
    <w:autoRedefine/>
    <w:qFormat/>
    <w:uiPriority w:val="0"/>
    <w:rPr>
      <w:rFonts w:ascii="Cambria" w:hAnsi="Cambria" w:cstheme="minorBidi"/>
      <w:sz w:val="24"/>
      <w:szCs w:val="24"/>
    </w:rPr>
  </w:style>
  <w:style w:type="paragraph" w:customStyle="1" w:styleId="42">
    <w:name w:val="Captioned Figure"/>
    <w:basedOn w:val="43"/>
    <w:autoRedefine/>
    <w:qFormat/>
    <w:uiPriority w:val="0"/>
    <w:pPr>
      <w:keepNext/>
    </w:pPr>
  </w:style>
  <w:style w:type="paragraph" w:customStyle="1" w:styleId="43">
    <w:name w:val="Figure"/>
    <w:basedOn w:val="1"/>
    <w:autoRedefine/>
    <w:qFormat/>
    <w:uiPriority w:val="0"/>
    <w:pPr>
      <w:widowControl/>
      <w:spacing w:after="200" w:line="240" w:lineRule="auto"/>
      <w:jc w:val="left"/>
    </w:pPr>
    <w:rPr>
      <w:rFonts w:ascii="Cambria" w:hAnsi="Cambria" w:eastAsia="宋体"/>
      <w:kern w:val="0"/>
      <w:szCs w:val="24"/>
      <w:lang w:eastAsia="en-US"/>
    </w:rPr>
  </w:style>
  <w:style w:type="paragraph" w:customStyle="1" w:styleId="44">
    <w:name w:val="First Paragraph"/>
    <w:basedOn w:val="6"/>
    <w:next w:val="6"/>
    <w:autoRedefine/>
    <w:qFormat/>
    <w:uiPriority w:val="0"/>
  </w:style>
  <w:style w:type="character" w:customStyle="1" w:styleId="45">
    <w:name w:val="页眉 字符"/>
    <w:basedOn w:val="36"/>
    <w:link w:val="23"/>
    <w:autoRedefine/>
    <w:qFormat/>
    <w:uiPriority w:val="0"/>
    <w:rPr>
      <w:rFonts w:eastAsia="仿宋" w:cstheme="minorBidi"/>
      <w:kern w:val="2"/>
      <w:sz w:val="18"/>
      <w:szCs w:val="18"/>
    </w:rPr>
  </w:style>
  <w:style w:type="character" w:customStyle="1" w:styleId="46">
    <w:name w:val="页脚 字符"/>
    <w:basedOn w:val="36"/>
    <w:link w:val="22"/>
    <w:autoRedefine/>
    <w:qFormat/>
    <w:uiPriority w:val="0"/>
    <w:rPr>
      <w:rFonts w:eastAsia="仿宋" w:cstheme="minorBidi"/>
      <w:kern w:val="2"/>
      <w:sz w:val="18"/>
      <w:szCs w:val="18"/>
    </w:rPr>
  </w:style>
  <w:style w:type="paragraph" w:customStyle="1" w:styleId="47">
    <w:name w:val="Abstract"/>
    <w:basedOn w:val="1"/>
    <w:next w:val="6"/>
    <w:autoRedefine/>
    <w:qFormat/>
    <w:uiPriority w:val="0"/>
    <w:pPr>
      <w:keepNext/>
      <w:keepLines/>
      <w:widowControl/>
      <w:spacing w:before="300" w:after="300" w:line="240" w:lineRule="auto"/>
      <w:jc w:val="left"/>
    </w:pPr>
    <w:rPr>
      <w:rFonts w:ascii="Cambria" w:hAnsi="Cambria" w:eastAsia="宋体"/>
      <w:kern w:val="0"/>
      <w:sz w:val="20"/>
      <w:szCs w:val="20"/>
      <w:lang w:eastAsia="en-US"/>
    </w:rPr>
  </w:style>
  <w:style w:type="character" w:customStyle="1" w:styleId="48">
    <w:name w:val="正文文本 字符"/>
    <w:basedOn w:val="36"/>
    <w:link w:val="6"/>
    <w:autoRedefine/>
    <w:qFormat/>
    <w:uiPriority w:val="0"/>
    <w:rPr>
      <w:rFonts w:ascii="Cambria" w:hAnsi="Cambria" w:cstheme="minorBidi"/>
      <w:sz w:val="24"/>
      <w:szCs w:val="24"/>
      <w:lang w:eastAsia="en-US"/>
    </w:rPr>
  </w:style>
  <w:style w:type="character" w:customStyle="1" w:styleId="49">
    <w:name w:val="AlertTok"/>
    <w:basedOn w:val="36"/>
    <w:autoRedefine/>
    <w:qFormat/>
    <w:uiPriority w:val="0"/>
    <w:rPr>
      <w:rFonts w:ascii="Consolas" w:hAnsi="Consolas" w:eastAsia="宋体"/>
      <w:b/>
      <w:color w:val="FF0000"/>
      <w:kern w:val="0"/>
      <w:sz w:val="22"/>
      <w:szCs w:val="24"/>
      <w:lang w:eastAsia="en-US"/>
    </w:rPr>
  </w:style>
  <w:style w:type="character" w:customStyle="1" w:styleId="50">
    <w:name w:val="AnnotationTok"/>
    <w:basedOn w:val="36"/>
    <w:autoRedefine/>
    <w:qFormat/>
    <w:uiPriority w:val="0"/>
    <w:rPr>
      <w:rFonts w:ascii="Consolas" w:hAnsi="Consolas" w:eastAsia="宋体"/>
      <w:b/>
      <w:i/>
      <w:color w:val="60A0B0"/>
      <w:kern w:val="0"/>
      <w:sz w:val="22"/>
      <w:szCs w:val="24"/>
      <w:lang w:eastAsia="en-US"/>
    </w:rPr>
  </w:style>
  <w:style w:type="character" w:customStyle="1" w:styleId="51">
    <w:name w:val="AttributeTok"/>
    <w:basedOn w:val="36"/>
    <w:autoRedefine/>
    <w:qFormat/>
    <w:uiPriority w:val="0"/>
    <w:rPr>
      <w:rFonts w:ascii="Consolas" w:hAnsi="Consolas" w:eastAsia="宋体"/>
      <w:color w:val="7D9029"/>
      <w:kern w:val="0"/>
      <w:sz w:val="22"/>
      <w:szCs w:val="24"/>
      <w:lang w:eastAsia="en-US"/>
    </w:rPr>
  </w:style>
  <w:style w:type="paragraph" w:customStyle="1" w:styleId="52">
    <w:name w:val="Author"/>
    <w:next w:val="6"/>
    <w:autoRedefine/>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character" w:customStyle="1" w:styleId="53">
    <w:name w:val="BaseNTok"/>
    <w:basedOn w:val="36"/>
    <w:autoRedefine/>
    <w:qFormat/>
    <w:uiPriority w:val="0"/>
    <w:rPr>
      <w:rFonts w:ascii="Consolas" w:hAnsi="Consolas" w:eastAsia="宋体"/>
      <w:color w:val="40A070"/>
      <w:kern w:val="0"/>
      <w:sz w:val="22"/>
      <w:szCs w:val="24"/>
      <w:lang w:eastAsia="en-US"/>
    </w:rPr>
  </w:style>
  <w:style w:type="character" w:customStyle="1" w:styleId="54">
    <w:name w:val="BuiltInTok"/>
    <w:basedOn w:val="36"/>
    <w:autoRedefine/>
    <w:qFormat/>
    <w:uiPriority w:val="0"/>
    <w:rPr>
      <w:rFonts w:ascii="Consolas" w:hAnsi="Consolas" w:eastAsia="宋体"/>
      <w:kern w:val="0"/>
      <w:sz w:val="22"/>
      <w:szCs w:val="24"/>
      <w:lang w:eastAsia="en-US"/>
    </w:rPr>
  </w:style>
  <w:style w:type="character" w:customStyle="1" w:styleId="55">
    <w:name w:val="CharTok"/>
    <w:basedOn w:val="36"/>
    <w:autoRedefine/>
    <w:qFormat/>
    <w:uiPriority w:val="0"/>
    <w:rPr>
      <w:rFonts w:ascii="Consolas" w:hAnsi="Consolas" w:eastAsia="宋体"/>
      <w:color w:val="4070A0"/>
      <w:kern w:val="0"/>
      <w:sz w:val="22"/>
      <w:szCs w:val="24"/>
      <w:lang w:eastAsia="en-US"/>
    </w:rPr>
  </w:style>
  <w:style w:type="character" w:customStyle="1" w:styleId="56">
    <w:name w:val="CommentTok"/>
    <w:basedOn w:val="36"/>
    <w:autoRedefine/>
    <w:qFormat/>
    <w:uiPriority w:val="0"/>
    <w:rPr>
      <w:rFonts w:ascii="Consolas" w:hAnsi="Consolas" w:eastAsia="宋体"/>
      <w:i/>
      <w:color w:val="60A0B0"/>
      <w:kern w:val="0"/>
      <w:sz w:val="22"/>
      <w:szCs w:val="24"/>
      <w:lang w:eastAsia="en-US"/>
    </w:rPr>
  </w:style>
  <w:style w:type="character" w:customStyle="1" w:styleId="57">
    <w:name w:val="CommentVarTok"/>
    <w:basedOn w:val="36"/>
    <w:autoRedefine/>
    <w:qFormat/>
    <w:uiPriority w:val="0"/>
    <w:rPr>
      <w:rFonts w:ascii="Consolas" w:hAnsi="Consolas" w:eastAsia="宋体"/>
      <w:b/>
      <w:i/>
      <w:color w:val="60A0B0"/>
      <w:kern w:val="0"/>
      <w:sz w:val="22"/>
      <w:szCs w:val="24"/>
      <w:lang w:eastAsia="en-US"/>
    </w:rPr>
  </w:style>
  <w:style w:type="paragraph" w:customStyle="1" w:styleId="58">
    <w:name w:val="Compact"/>
    <w:basedOn w:val="6"/>
    <w:autoRedefine/>
    <w:qFormat/>
    <w:uiPriority w:val="0"/>
    <w:pPr>
      <w:spacing w:before="36" w:after="36"/>
    </w:pPr>
  </w:style>
  <w:style w:type="character" w:customStyle="1" w:styleId="59">
    <w:name w:val="ConstantTok"/>
    <w:basedOn w:val="36"/>
    <w:autoRedefine/>
    <w:qFormat/>
    <w:uiPriority w:val="0"/>
    <w:rPr>
      <w:rFonts w:ascii="Consolas" w:hAnsi="Consolas" w:eastAsia="宋体"/>
      <w:color w:val="880000"/>
      <w:kern w:val="0"/>
      <w:sz w:val="22"/>
      <w:szCs w:val="24"/>
      <w:lang w:eastAsia="en-US"/>
    </w:rPr>
  </w:style>
  <w:style w:type="character" w:customStyle="1" w:styleId="60">
    <w:name w:val="ControlFlowTok"/>
    <w:basedOn w:val="36"/>
    <w:autoRedefine/>
    <w:qFormat/>
    <w:uiPriority w:val="0"/>
    <w:rPr>
      <w:rFonts w:ascii="Consolas" w:hAnsi="Consolas" w:eastAsia="宋体"/>
      <w:b/>
      <w:color w:val="007020"/>
      <w:kern w:val="0"/>
      <w:sz w:val="22"/>
      <w:szCs w:val="24"/>
      <w:lang w:eastAsia="en-US"/>
    </w:rPr>
  </w:style>
  <w:style w:type="character" w:customStyle="1" w:styleId="61">
    <w:name w:val="DataTypeTok"/>
    <w:basedOn w:val="36"/>
    <w:autoRedefine/>
    <w:qFormat/>
    <w:uiPriority w:val="0"/>
    <w:rPr>
      <w:rFonts w:ascii="Consolas" w:hAnsi="Consolas" w:eastAsia="宋体"/>
      <w:color w:val="902000"/>
      <w:kern w:val="0"/>
      <w:sz w:val="22"/>
      <w:szCs w:val="24"/>
      <w:lang w:eastAsia="en-US"/>
    </w:rPr>
  </w:style>
  <w:style w:type="character" w:customStyle="1" w:styleId="62">
    <w:name w:val="DecValTok"/>
    <w:basedOn w:val="36"/>
    <w:autoRedefine/>
    <w:qFormat/>
    <w:uiPriority w:val="0"/>
    <w:rPr>
      <w:rFonts w:ascii="Consolas" w:hAnsi="Consolas" w:eastAsia="宋体"/>
      <w:color w:val="40A070"/>
      <w:kern w:val="0"/>
      <w:sz w:val="22"/>
      <w:szCs w:val="24"/>
      <w:lang w:eastAsia="en-US"/>
    </w:rPr>
  </w:style>
  <w:style w:type="paragraph" w:customStyle="1" w:styleId="63">
    <w:name w:val="Definition"/>
    <w:basedOn w:val="1"/>
    <w:autoRedefine/>
    <w:qFormat/>
    <w:uiPriority w:val="0"/>
    <w:pPr>
      <w:widowControl/>
      <w:spacing w:after="200" w:line="240" w:lineRule="auto"/>
      <w:jc w:val="left"/>
    </w:pPr>
    <w:rPr>
      <w:rFonts w:ascii="Cambria" w:hAnsi="Cambria" w:eastAsia="宋体"/>
      <w:kern w:val="0"/>
      <w:szCs w:val="24"/>
      <w:lang w:eastAsia="en-US"/>
    </w:rPr>
  </w:style>
  <w:style w:type="paragraph" w:customStyle="1" w:styleId="64">
    <w:name w:val="Definition Term"/>
    <w:basedOn w:val="1"/>
    <w:next w:val="63"/>
    <w:autoRedefine/>
    <w:qFormat/>
    <w:uiPriority w:val="0"/>
    <w:pPr>
      <w:keepNext/>
      <w:keepLines/>
      <w:widowControl/>
      <w:spacing w:line="240" w:lineRule="auto"/>
      <w:jc w:val="left"/>
    </w:pPr>
    <w:rPr>
      <w:rFonts w:ascii="Cambria" w:hAnsi="Cambria" w:eastAsia="宋体"/>
      <w:b/>
      <w:kern w:val="0"/>
      <w:szCs w:val="24"/>
      <w:lang w:eastAsia="en-US"/>
    </w:rPr>
  </w:style>
  <w:style w:type="character" w:customStyle="1" w:styleId="65">
    <w:name w:val="DocumentationTok"/>
    <w:basedOn w:val="36"/>
    <w:autoRedefine/>
    <w:qFormat/>
    <w:uiPriority w:val="0"/>
    <w:rPr>
      <w:rFonts w:ascii="Consolas" w:hAnsi="Consolas" w:eastAsia="宋体"/>
      <w:i/>
      <w:color w:val="BA2121"/>
      <w:kern w:val="0"/>
      <w:sz w:val="22"/>
      <w:szCs w:val="24"/>
      <w:lang w:eastAsia="en-US"/>
    </w:rPr>
  </w:style>
  <w:style w:type="character" w:customStyle="1" w:styleId="66">
    <w:name w:val="ErrorTok"/>
    <w:basedOn w:val="36"/>
    <w:autoRedefine/>
    <w:qFormat/>
    <w:uiPriority w:val="0"/>
    <w:rPr>
      <w:rFonts w:ascii="Consolas" w:hAnsi="Consolas" w:eastAsia="宋体"/>
      <w:b/>
      <w:color w:val="FF0000"/>
      <w:kern w:val="0"/>
      <w:sz w:val="22"/>
      <w:szCs w:val="24"/>
      <w:lang w:eastAsia="en-US"/>
    </w:rPr>
  </w:style>
  <w:style w:type="character" w:customStyle="1" w:styleId="67">
    <w:name w:val="ExtensionTok"/>
    <w:basedOn w:val="36"/>
    <w:autoRedefine/>
    <w:qFormat/>
    <w:uiPriority w:val="0"/>
    <w:rPr>
      <w:rFonts w:ascii="Consolas" w:hAnsi="Consolas" w:eastAsia="宋体"/>
      <w:kern w:val="0"/>
      <w:sz w:val="22"/>
      <w:szCs w:val="24"/>
      <w:lang w:eastAsia="en-US"/>
    </w:rPr>
  </w:style>
  <w:style w:type="character" w:customStyle="1" w:styleId="68">
    <w:name w:val="FloatTok"/>
    <w:basedOn w:val="36"/>
    <w:autoRedefine/>
    <w:qFormat/>
    <w:uiPriority w:val="0"/>
    <w:rPr>
      <w:rFonts w:ascii="Consolas" w:hAnsi="Consolas" w:eastAsia="宋体"/>
      <w:color w:val="40A070"/>
      <w:kern w:val="0"/>
      <w:sz w:val="22"/>
      <w:szCs w:val="24"/>
      <w:lang w:eastAsia="en-US"/>
    </w:rPr>
  </w:style>
  <w:style w:type="character" w:customStyle="1" w:styleId="69">
    <w:name w:val="FunctionTok"/>
    <w:basedOn w:val="36"/>
    <w:autoRedefine/>
    <w:qFormat/>
    <w:uiPriority w:val="0"/>
    <w:rPr>
      <w:rFonts w:ascii="Consolas" w:hAnsi="Consolas" w:eastAsia="宋体"/>
      <w:color w:val="06287E"/>
      <w:kern w:val="0"/>
      <w:sz w:val="22"/>
      <w:szCs w:val="24"/>
      <w:lang w:eastAsia="en-US"/>
    </w:rPr>
  </w:style>
  <w:style w:type="paragraph" w:customStyle="1" w:styleId="70">
    <w:name w:val="Image Caption"/>
    <w:basedOn w:val="14"/>
    <w:autoRedefine/>
    <w:qFormat/>
    <w:uiPriority w:val="0"/>
  </w:style>
  <w:style w:type="character" w:customStyle="1" w:styleId="71">
    <w:name w:val="ImportTok"/>
    <w:basedOn w:val="36"/>
    <w:autoRedefine/>
    <w:qFormat/>
    <w:uiPriority w:val="0"/>
    <w:rPr>
      <w:rFonts w:ascii="Consolas" w:hAnsi="Consolas" w:eastAsia="宋体"/>
      <w:kern w:val="0"/>
      <w:sz w:val="22"/>
      <w:szCs w:val="24"/>
      <w:lang w:eastAsia="en-US"/>
    </w:rPr>
  </w:style>
  <w:style w:type="character" w:customStyle="1" w:styleId="72">
    <w:name w:val="InformationTok"/>
    <w:basedOn w:val="36"/>
    <w:autoRedefine/>
    <w:qFormat/>
    <w:uiPriority w:val="0"/>
    <w:rPr>
      <w:rFonts w:ascii="Consolas" w:hAnsi="Consolas" w:eastAsia="宋体"/>
      <w:b/>
      <w:i/>
      <w:color w:val="60A0B0"/>
      <w:kern w:val="0"/>
      <w:sz w:val="22"/>
      <w:szCs w:val="24"/>
      <w:lang w:eastAsia="en-US"/>
    </w:rPr>
  </w:style>
  <w:style w:type="character" w:customStyle="1" w:styleId="73">
    <w:name w:val="KeywordTok"/>
    <w:basedOn w:val="36"/>
    <w:autoRedefine/>
    <w:qFormat/>
    <w:uiPriority w:val="0"/>
    <w:rPr>
      <w:rFonts w:ascii="Consolas" w:hAnsi="Consolas" w:eastAsia="宋体"/>
      <w:b/>
      <w:color w:val="007020"/>
      <w:kern w:val="0"/>
      <w:sz w:val="22"/>
      <w:szCs w:val="24"/>
      <w:lang w:eastAsia="en-US"/>
    </w:rPr>
  </w:style>
  <w:style w:type="character" w:customStyle="1" w:styleId="74">
    <w:name w:val="NormalTok"/>
    <w:basedOn w:val="36"/>
    <w:autoRedefine/>
    <w:qFormat/>
    <w:uiPriority w:val="0"/>
    <w:rPr>
      <w:rFonts w:ascii="Consolas" w:hAnsi="Consolas" w:eastAsia="宋体"/>
      <w:kern w:val="0"/>
      <w:sz w:val="22"/>
      <w:szCs w:val="24"/>
      <w:lang w:eastAsia="en-US"/>
    </w:rPr>
  </w:style>
  <w:style w:type="character" w:customStyle="1" w:styleId="75">
    <w:name w:val="OperatorTok"/>
    <w:basedOn w:val="36"/>
    <w:autoRedefine/>
    <w:qFormat/>
    <w:uiPriority w:val="0"/>
    <w:rPr>
      <w:rFonts w:ascii="Consolas" w:hAnsi="Consolas" w:eastAsia="宋体"/>
      <w:color w:val="666666"/>
      <w:kern w:val="0"/>
      <w:sz w:val="22"/>
      <w:szCs w:val="24"/>
      <w:lang w:eastAsia="en-US"/>
    </w:rPr>
  </w:style>
  <w:style w:type="character" w:customStyle="1" w:styleId="76">
    <w:name w:val="OtherTok"/>
    <w:basedOn w:val="36"/>
    <w:autoRedefine/>
    <w:qFormat/>
    <w:uiPriority w:val="0"/>
    <w:rPr>
      <w:rFonts w:ascii="Consolas" w:hAnsi="Consolas" w:eastAsia="宋体"/>
      <w:color w:val="007020"/>
      <w:kern w:val="0"/>
      <w:sz w:val="22"/>
      <w:szCs w:val="24"/>
      <w:lang w:eastAsia="en-US"/>
    </w:rPr>
  </w:style>
  <w:style w:type="character" w:customStyle="1" w:styleId="77">
    <w:name w:val="PreprocessorTok"/>
    <w:basedOn w:val="36"/>
    <w:autoRedefine/>
    <w:qFormat/>
    <w:uiPriority w:val="0"/>
    <w:rPr>
      <w:rFonts w:ascii="Consolas" w:hAnsi="Consolas" w:eastAsia="宋体"/>
      <w:color w:val="BC7A00"/>
      <w:kern w:val="0"/>
      <w:sz w:val="22"/>
      <w:szCs w:val="24"/>
      <w:lang w:eastAsia="en-US"/>
    </w:rPr>
  </w:style>
  <w:style w:type="character" w:customStyle="1" w:styleId="78">
    <w:name w:val="RegionMarkerTok"/>
    <w:basedOn w:val="36"/>
    <w:autoRedefine/>
    <w:qFormat/>
    <w:uiPriority w:val="0"/>
    <w:rPr>
      <w:rFonts w:ascii="Consolas" w:hAnsi="Consolas" w:eastAsia="宋体"/>
      <w:kern w:val="0"/>
      <w:sz w:val="22"/>
      <w:szCs w:val="24"/>
      <w:lang w:eastAsia="en-US"/>
    </w:rPr>
  </w:style>
  <w:style w:type="character" w:customStyle="1" w:styleId="79">
    <w:name w:val="Section Number"/>
    <w:basedOn w:val="41"/>
    <w:autoRedefine/>
    <w:qFormat/>
    <w:uiPriority w:val="0"/>
    <w:rPr>
      <w:rFonts w:ascii="Cambria" w:hAnsi="Cambria" w:eastAsia="宋体" w:cstheme="minorBidi"/>
      <w:kern w:val="0"/>
      <w:sz w:val="24"/>
      <w:szCs w:val="24"/>
      <w:lang w:eastAsia="en-US"/>
    </w:rPr>
  </w:style>
  <w:style w:type="paragraph" w:customStyle="1" w:styleId="80">
    <w:name w:val="Source Code"/>
    <w:basedOn w:val="1"/>
    <w:link w:val="81"/>
    <w:autoRedefine/>
    <w:qFormat/>
    <w:uiPriority w:val="0"/>
    <w:pPr>
      <w:widowControl/>
      <w:wordWrap w:val="0"/>
      <w:spacing w:after="200" w:line="240" w:lineRule="auto"/>
      <w:jc w:val="left"/>
    </w:pPr>
    <w:rPr>
      <w:rFonts w:ascii="Consolas" w:hAnsi="Consolas" w:eastAsia="宋体"/>
      <w:i/>
      <w:kern w:val="0"/>
      <w:sz w:val="22"/>
      <w:szCs w:val="24"/>
      <w:lang w:eastAsia="en-US"/>
    </w:rPr>
  </w:style>
  <w:style w:type="character" w:customStyle="1" w:styleId="81">
    <w:name w:val="Verbatim Char"/>
    <w:basedOn w:val="41"/>
    <w:link w:val="80"/>
    <w:autoRedefine/>
    <w:qFormat/>
    <w:uiPriority w:val="0"/>
    <w:rPr>
      <w:rFonts w:ascii="Consolas" w:hAnsi="Consolas" w:cstheme="minorBidi"/>
      <w:i/>
      <w:sz w:val="22"/>
      <w:szCs w:val="24"/>
      <w:lang w:eastAsia="en-US"/>
    </w:rPr>
  </w:style>
  <w:style w:type="character" w:customStyle="1" w:styleId="82">
    <w:name w:val="SpecialCharTok"/>
    <w:basedOn w:val="81"/>
    <w:autoRedefine/>
    <w:qFormat/>
    <w:uiPriority w:val="0"/>
    <w:rPr>
      <w:rFonts w:ascii="Consolas" w:hAnsi="Consolas" w:eastAsia="宋体" w:cstheme="minorBidi"/>
      <w:i w:val="0"/>
      <w:color w:val="4070A0"/>
      <w:kern w:val="0"/>
      <w:sz w:val="22"/>
      <w:szCs w:val="24"/>
      <w:lang w:eastAsia="en-US"/>
    </w:rPr>
  </w:style>
  <w:style w:type="character" w:customStyle="1" w:styleId="83">
    <w:name w:val="SpecialStringTok"/>
    <w:basedOn w:val="81"/>
    <w:autoRedefine/>
    <w:qFormat/>
    <w:uiPriority w:val="0"/>
    <w:rPr>
      <w:rFonts w:ascii="Consolas" w:hAnsi="Consolas" w:eastAsia="宋体" w:cstheme="minorBidi"/>
      <w:i w:val="0"/>
      <w:color w:val="BB6688"/>
      <w:kern w:val="0"/>
      <w:sz w:val="22"/>
      <w:szCs w:val="24"/>
      <w:lang w:eastAsia="en-US"/>
    </w:rPr>
  </w:style>
  <w:style w:type="character" w:customStyle="1" w:styleId="84">
    <w:name w:val="StringTok"/>
    <w:basedOn w:val="81"/>
    <w:autoRedefine/>
    <w:qFormat/>
    <w:uiPriority w:val="0"/>
    <w:rPr>
      <w:rFonts w:ascii="Consolas" w:hAnsi="Consolas" w:eastAsia="宋体" w:cstheme="minorBidi"/>
      <w:i w:val="0"/>
      <w:color w:val="4070A0"/>
      <w:kern w:val="0"/>
      <w:sz w:val="22"/>
      <w:szCs w:val="24"/>
      <w:lang w:eastAsia="en-US"/>
    </w:rPr>
  </w:style>
  <w:style w:type="table" w:customStyle="1" w:styleId="85">
    <w:name w:val="Table"/>
    <w:autoRedefine/>
    <w:semiHidden/>
    <w:unhideWhenUsed/>
    <w:qFormat/>
    <w:uiPriority w:val="0"/>
    <w:pPr>
      <w:spacing w:after="200"/>
    </w:pPr>
    <w:rPr>
      <w:rFonts w:asciiTheme="minorHAnsi" w:hAnsiTheme="minorHAnsi" w:eastAsiaTheme="minorEastAsia" w:cstheme="minorBidi"/>
      <w:sz w:val="24"/>
      <w:szCs w:val="24"/>
      <w:lang w:eastAsia="en-US"/>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86">
    <w:name w:val="Table Caption"/>
    <w:basedOn w:val="14"/>
    <w:autoRedefine/>
    <w:qFormat/>
    <w:uiPriority w:val="0"/>
    <w:pPr>
      <w:keepNext/>
    </w:pPr>
  </w:style>
  <w:style w:type="character" w:customStyle="1" w:styleId="87">
    <w:name w:val="标题 1 字符"/>
    <w:basedOn w:val="36"/>
    <w:link w:val="2"/>
    <w:autoRedefine/>
    <w:qFormat/>
    <w:uiPriority w:val="9"/>
    <w:rPr>
      <w:rFonts w:ascii="Times New Roman" w:hAnsi="Times New Roman" w:eastAsia="仿宋" w:cs="黑体"/>
      <w:b/>
      <w:bCs/>
      <w:sz w:val="32"/>
      <w:szCs w:val="32"/>
    </w:rPr>
  </w:style>
  <w:style w:type="paragraph" w:customStyle="1" w:styleId="88">
    <w:name w:val="TOC 标题1"/>
    <w:basedOn w:val="2"/>
    <w:next w:val="1"/>
    <w:autoRedefine/>
    <w:unhideWhenUsed/>
    <w:qFormat/>
    <w:uiPriority w:val="39"/>
    <w:pPr>
      <w:numPr>
        <w:numId w:val="0"/>
      </w:numPr>
      <w:spacing w:line="259" w:lineRule="auto"/>
      <w:jc w:val="left"/>
      <w:outlineLvl w:val="9"/>
    </w:pPr>
    <w:rPr>
      <w:rFonts w:asciiTheme="majorHAnsi" w:hAnsiTheme="majorHAnsi" w:eastAsiaTheme="majorEastAsia" w:cstheme="majorBidi"/>
      <w:b w:val="0"/>
      <w:bCs w:val="0"/>
      <w:color w:val="2E54A1" w:themeColor="accent1" w:themeShade="BF"/>
    </w:rPr>
  </w:style>
  <w:style w:type="paragraph" w:customStyle="1" w:styleId="89">
    <w:name w:val="TOC 标题11"/>
    <w:basedOn w:val="2"/>
    <w:next w:val="6"/>
    <w:autoRedefine/>
    <w:unhideWhenUsed/>
    <w:qFormat/>
    <w:uiPriority w:val="39"/>
    <w:pPr>
      <w:spacing w:line="259" w:lineRule="auto"/>
      <w:jc w:val="left"/>
      <w:outlineLvl w:val="9"/>
    </w:pPr>
    <w:rPr>
      <w:rFonts w:ascii="Calibri" w:hAnsi="Calibri" w:eastAsia="宋体" w:cs="Times New Roman"/>
      <w:b w:val="0"/>
      <w:bCs w:val="0"/>
      <w:color w:val="365F91"/>
      <w:lang w:eastAsia="en-US"/>
    </w:rPr>
  </w:style>
  <w:style w:type="character" w:customStyle="1" w:styleId="90">
    <w:name w:val="VariableTok"/>
    <w:basedOn w:val="81"/>
    <w:autoRedefine/>
    <w:qFormat/>
    <w:uiPriority w:val="0"/>
    <w:rPr>
      <w:rFonts w:ascii="Consolas" w:hAnsi="Consolas" w:eastAsia="宋体" w:cstheme="minorBidi"/>
      <w:i w:val="0"/>
      <w:color w:val="19177C"/>
      <w:kern w:val="0"/>
      <w:sz w:val="22"/>
      <w:szCs w:val="24"/>
      <w:lang w:eastAsia="en-US"/>
    </w:rPr>
  </w:style>
  <w:style w:type="character" w:customStyle="1" w:styleId="91">
    <w:name w:val="VerbatimStringTok"/>
    <w:basedOn w:val="81"/>
    <w:autoRedefine/>
    <w:qFormat/>
    <w:uiPriority w:val="0"/>
    <w:rPr>
      <w:rFonts w:ascii="Consolas" w:hAnsi="Consolas" w:eastAsia="宋体" w:cstheme="minorBidi"/>
      <w:i w:val="0"/>
      <w:color w:val="4070A0"/>
      <w:kern w:val="0"/>
      <w:sz w:val="22"/>
      <w:szCs w:val="24"/>
      <w:lang w:eastAsia="en-US"/>
    </w:rPr>
  </w:style>
  <w:style w:type="character" w:customStyle="1" w:styleId="92">
    <w:name w:val="WarningTok"/>
    <w:basedOn w:val="81"/>
    <w:autoRedefine/>
    <w:qFormat/>
    <w:uiPriority w:val="0"/>
    <w:rPr>
      <w:rFonts w:ascii="Consolas" w:hAnsi="Consolas" w:eastAsia="宋体" w:cstheme="minorBidi"/>
      <w:b/>
      <w:color w:val="60A0B0"/>
      <w:kern w:val="0"/>
      <w:sz w:val="22"/>
      <w:szCs w:val="24"/>
      <w:lang w:eastAsia="en-US"/>
    </w:rPr>
  </w:style>
  <w:style w:type="character" w:customStyle="1" w:styleId="93">
    <w:name w:val="列表段落 字符"/>
    <w:basedOn w:val="36"/>
    <w:link w:val="4"/>
    <w:autoRedefine/>
    <w:qFormat/>
    <w:uiPriority w:val="34"/>
    <w:rPr>
      <w:rFonts w:eastAsia="仿宋" w:cstheme="minorBidi"/>
      <w:kern w:val="2"/>
      <w:sz w:val="24"/>
      <w:szCs w:val="22"/>
    </w:rPr>
  </w:style>
  <w:style w:type="character" w:customStyle="1" w:styleId="94">
    <w:name w:val="标题 2 字符"/>
    <w:basedOn w:val="36"/>
    <w:link w:val="3"/>
    <w:autoRedefine/>
    <w:qFormat/>
    <w:uiPriority w:val="9"/>
    <w:rPr>
      <w:rFonts w:ascii="Times New Roman" w:hAnsi="Times New Roman" w:eastAsia="仿宋"/>
      <w:b/>
      <w:bCs/>
      <w:color w:val="000000" w:themeColor="text1"/>
      <w:sz w:val="28"/>
      <w:szCs w:val="24"/>
      <w14:textFill>
        <w14:solidFill>
          <w14:schemeClr w14:val="tx1"/>
        </w14:solidFill>
      </w14:textFill>
    </w:rPr>
  </w:style>
  <w:style w:type="character" w:customStyle="1" w:styleId="95">
    <w:name w:val="标题 3 字符"/>
    <w:basedOn w:val="36"/>
    <w:link w:val="5"/>
    <w:autoRedefine/>
    <w:qFormat/>
    <w:uiPriority w:val="9"/>
    <w:rPr>
      <w:rFonts w:ascii="Times New Roman" w:hAnsi="Times New Roman" w:eastAsia="仿宋"/>
      <w:b/>
      <w:bCs/>
      <w:color w:val="000000" w:themeColor="text1"/>
      <w:sz w:val="24"/>
      <w:szCs w:val="24"/>
      <w14:textFill>
        <w14:solidFill>
          <w14:schemeClr w14:val="tx1"/>
        </w14:solidFill>
      </w14:textFill>
    </w:rPr>
  </w:style>
  <w:style w:type="character" w:customStyle="1" w:styleId="96">
    <w:name w:val="标题 4 字符"/>
    <w:basedOn w:val="36"/>
    <w:link w:val="7"/>
    <w:autoRedefine/>
    <w:qFormat/>
    <w:uiPriority w:val="9"/>
    <w:rPr>
      <w:rFonts w:ascii="Times New Roman" w:hAnsi="Times New Roman" w:eastAsia="仿宋" w:cstheme="majorBidi"/>
      <w:b/>
      <w:bCs/>
      <w:kern w:val="2"/>
      <w:sz w:val="24"/>
      <w:szCs w:val="28"/>
    </w:rPr>
  </w:style>
  <w:style w:type="paragraph" w:customStyle="1" w:styleId="97">
    <w:name w:val="标题 41"/>
    <w:basedOn w:val="1"/>
    <w:next w:val="6"/>
    <w:autoRedefine/>
    <w:unhideWhenUsed/>
    <w:qFormat/>
    <w:uiPriority w:val="9"/>
    <w:pPr>
      <w:keepNext/>
      <w:keepLines/>
      <w:widowControl/>
      <w:spacing w:before="200" w:line="240" w:lineRule="auto"/>
      <w:jc w:val="left"/>
      <w:outlineLvl w:val="3"/>
    </w:pPr>
    <w:rPr>
      <w:rFonts w:ascii="Calibri" w:hAnsi="Calibri" w:eastAsia="宋体" w:cs="Times New Roman"/>
      <w:bCs/>
      <w:i/>
      <w:color w:val="4F81BD"/>
      <w:kern w:val="0"/>
      <w:szCs w:val="24"/>
      <w:lang w:eastAsia="en-US"/>
    </w:rPr>
  </w:style>
  <w:style w:type="character" w:customStyle="1" w:styleId="98">
    <w:name w:val="标题 5 字符"/>
    <w:basedOn w:val="36"/>
    <w:link w:val="8"/>
    <w:autoRedefine/>
    <w:qFormat/>
    <w:uiPriority w:val="9"/>
    <w:rPr>
      <w:rFonts w:ascii="Times New Roman" w:hAnsi="Times New Roman" w:eastAsia="仿宋" w:cstheme="minorBidi"/>
      <w:b/>
      <w:bCs/>
      <w:kern w:val="2"/>
      <w:sz w:val="28"/>
      <w:szCs w:val="28"/>
    </w:rPr>
  </w:style>
  <w:style w:type="paragraph" w:customStyle="1" w:styleId="99">
    <w:name w:val="标题 51"/>
    <w:basedOn w:val="1"/>
    <w:next w:val="6"/>
    <w:autoRedefine/>
    <w:unhideWhenUsed/>
    <w:qFormat/>
    <w:uiPriority w:val="9"/>
    <w:pPr>
      <w:keepNext/>
      <w:keepLines/>
      <w:widowControl/>
      <w:spacing w:before="200" w:line="240" w:lineRule="auto"/>
      <w:jc w:val="left"/>
      <w:outlineLvl w:val="4"/>
    </w:pPr>
    <w:rPr>
      <w:rFonts w:ascii="Calibri" w:hAnsi="Calibri" w:eastAsia="宋体" w:cs="Times New Roman"/>
      <w:iCs/>
      <w:color w:val="4F81BD"/>
      <w:kern w:val="0"/>
      <w:szCs w:val="24"/>
      <w:lang w:eastAsia="en-US"/>
    </w:rPr>
  </w:style>
  <w:style w:type="character" w:customStyle="1" w:styleId="100">
    <w:name w:val="标题 6 字符"/>
    <w:basedOn w:val="36"/>
    <w:link w:val="9"/>
    <w:autoRedefine/>
    <w:semiHidden/>
    <w:qFormat/>
    <w:uiPriority w:val="9"/>
    <w:rPr>
      <w:rFonts w:asciiTheme="majorHAnsi" w:hAnsiTheme="majorHAnsi" w:eastAsiaTheme="majorEastAsia" w:cstheme="majorBidi"/>
      <w:b/>
      <w:bCs/>
      <w:kern w:val="2"/>
      <w:sz w:val="24"/>
      <w:szCs w:val="24"/>
    </w:rPr>
  </w:style>
  <w:style w:type="paragraph" w:customStyle="1" w:styleId="101">
    <w:name w:val="标题 61"/>
    <w:basedOn w:val="1"/>
    <w:next w:val="6"/>
    <w:autoRedefine/>
    <w:unhideWhenUsed/>
    <w:qFormat/>
    <w:uiPriority w:val="9"/>
    <w:pPr>
      <w:keepNext/>
      <w:keepLines/>
      <w:widowControl/>
      <w:spacing w:before="200" w:line="240" w:lineRule="auto"/>
      <w:jc w:val="left"/>
      <w:outlineLvl w:val="5"/>
    </w:pPr>
    <w:rPr>
      <w:rFonts w:ascii="Calibri" w:hAnsi="Calibri" w:eastAsia="宋体" w:cs="Times New Roman"/>
      <w:color w:val="4F81BD"/>
      <w:kern w:val="0"/>
      <w:szCs w:val="24"/>
      <w:lang w:eastAsia="en-US"/>
    </w:rPr>
  </w:style>
  <w:style w:type="character" w:customStyle="1" w:styleId="102">
    <w:name w:val="标题 7 字符"/>
    <w:basedOn w:val="36"/>
    <w:link w:val="10"/>
    <w:autoRedefine/>
    <w:semiHidden/>
    <w:qFormat/>
    <w:uiPriority w:val="9"/>
    <w:rPr>
      <w:rFonts w:ascii="Times New Roman" w:hAnsi="Times New Roman" w:eastAsia="仿宋" w:cstheme="minorBidi"/>
      <w:b/>
      <w:bCs/>
      <w:kern w:val="2"/>
      <w:sz w:val="24"/>
      <w:szCs w:val="24"/>
    </w:rPr>
  </w:style>
  <w:style w:type="paragraph" w:customStyle="1" w:styleId="103">
    <w:name w:val="标题 71"/>
    <w:basedOn w:val="1"/>
    <w:next w:val="6"/>
    <w:autoRedefine/>
    <w:unhideWhenUsed/>
    <w:qFormat/>
    <w:uiPriority w:val="9"/>
    <w:pPr>
      <w:keepNext/>
      <w:keepLines/>
      <w:widowControl/>
      <w:spacing w:before="200" w:line="240" w:lineRule="auto"/>
      <w:jc w:val="left"/>
      <w:outlineLvl w:val="6"/>
    </w:pPr>
    <w:rPr>
      <w:rFonts w:ascii="Calibri" w:hAnsi="Calibri" w:eastAsia="宋体" w:cs="Times New Roman"/>
      <w:color w:val="4F81BD"/>
      <w:kern w:val="0"/>
      <w:szCs w:val="24"/>
      <w:lang w:eastAsia="en-US"/>
    </w:rPr>
  </w:style>
  <w:style w:type="character" w:customStyle="1" w:styleId="104">
    <w:name w:val="标题 8 字符"/>
    <w:basedOn w:val="36"/>
    <w:link w:val="11"/>
    <w:autoRedefine/>
    <w:semiHidden/>
    <w:qFormat/>
    <w:uiPriority w:val="9"/>
    <w:rPr>
      <w:rFonts w:asciiTheme="majorHAnsi" w:hAnsiTheme="majorHAnsi" w:eastAsiaTheme="majorEastAsia" w:cstheme="majorBidi"/>
      <w:kern w:val="2"/>
      <w:sz w:val="24"/>
      <w:szCs w:val="24"/>
    </w:rPr>
  </w:style>
  <w:style w:type="paragraph" w:customStyle="1" w:styleId="105">
    <w:name w:val="标题 81"/>
    <w:basedOn w:val="1"/>
    <w:next w:val="6"/>
    <w:autoRedefine/>
    <w:unhideWhenUsed/>
    <w:qFormat/>
    <w:uiPriority w:val="9"/>
    <w:pPr>
      <w:keepNext/>
      <w:keepLines/>
      <w:widowControl/>
      <w:spacing w:before="200" w:line="240" w:lineRule="auto"/>
      <w:jc w:val="left"/>
      <w:outlineLvl w:val="7"/>
    </w:pPr>
    <w:rPr>
      <w:rFonts w:ascii="Calibri" w:hAnsi="Calibri" w:eastAsia="宋体" w:cs="Times New Roman"/>
      <w:color w:val="4F81BD"/>
      <w:kern w:val="0"/>
      <w:szCs w:val="24"/>
      <w:lang w:eastAsia="en-US"/>
    </w:rPr>
  </w:style>
  <w:style w:type="character" w:customStyle="1" w:styleId="106">
    <w:name w:val="标题 9 字符"/>
    <w:basedOn w:val="36"/>
    <w:link w:val="12"/>
    <w:autoRedefine/>
    <w:semiHidden/>
    <w:qFormat/>
    <w:uiPriority w:val="9"/>
    <w:rPr>
      <w:rFonts w:asciiTheme="majorHAnsi" w:hAnsiTheme="majorHAnsi" w:eastAsiaTheme="majorEastAsia" w:cstheme="majorBidi"/>
      <w:kern w:val="2"/>
      <w:sz w:val="21"/>
      <w:szCs w:val="21"/>
    </w:rPr>
  </w:style>
  <w:style w:type="paragraph" w:customStyle="1" w:styleId="107">
    <w:name w:val="标题 91"/>
    <w:basedOn w:val="1"/>
    <w:next w:val="6"/>
    <w:autoRedefine/>
    <w:unhideWhenUsed/>
    <w:qFormat/>
    <w:uiPriority w:val="9"/>
    <w:pPr>
      <w:keepNext/>
      <w:keepLines/>
      <w:widowControl/>
      <w:spacing w:before="200" w:line="240" w:lineRule="auto"/>
      <w:jc w:val="left"/>
      <w:outlineLvl w:val="8"/>
    </w:pPr>
    <w:rPr>
      <w:rFonts w:ascii="Calibri" w:hAnsi="Calibri" w:eastAsia="宋体" w:cs="Times New Roman"/>
      <w:color w:val="4F81BD"/>
      <w:kern w:val="0"/>
      <w:szCs w:val="24"/>
      <w:lang w:eastAsia="en-US"/>
    </w:rPr>
  </w:style>
  <w:style w:type="character" w:customStyle="1" w:styleId="108">
    <w:name w:val="标题 字符"/>
    <w:basedOn w:val="36"/>
    <w:link w:val="32"/>
    <w:autoRedefine/>
    <w:qFormat/>
    <w:uiPriority w:val="0"/>
    <w:rPr>
      <w:rFonts w:ascii="黑体" w:hAnsi="黑体" w:eastAsia="黑体" w:cstheme="majorBidi"/>
      <w:b/>
      <w:bCs/>
      <w:kern w:val="2"/>
      <w:sz w:val="28"/>
      <w:szCs w:val="32"/>
    </w:rPr>
  </w:style>
  <w:style w:type="paragraph" w:customStyle="1" w:styleId="109">
    <w:name w:val="标题1"/>
    <w:basedOn w:val="2"/>
    <w:next w:val="1"/>
    <w:link w:val="110"/>
    <w:autoRedefine/>
    <w:qFormat/>
    <w:uiPriority w:val="0"/>
    <w:pPr>
      <w:contextualSpacing/>
    </w:pPr>
    <w:rPr>
      <w:color w:val="000000" w:themeColor="text1"/>
      <w:szCs w:val="24"/>
      <w14:textFill>
        <w14:solidFill>
          <w14:schemeClr w14:val="tx1"/>
        </w14:solidFill>
      </w14:textFill>
    </w:rPr>
  </w:style>
  <w:style w:type="character" w:customStyle="1" w:styleId="110">
    <w:name w:val="标题1 字符"/>
    <w:basedOn w:val="87"/>
    <w:link w:val="109"/>
    <w:autoRedefine/>
    <w:qFormat/>
    <w:uiPriority w:val="0"/>
    <w:rPr>
      <w:rFonts w:ascii="Times New Roman" w:hAnsi="Times New Roman" w:eastAsia="仿宋" w:cs="黑体"/>
      <w:color w:val="000000" w:themeColor="text1"/>
      <w:sz w:val="32"/>
      <w:szCs w:val="24"/>
      <w14:textFill>
        <w14:solidFill>
          <w14:schemeClr w14:val="tx1"/>
        </w14:solidFill>
      </w14:textFill>
    </w:rPr>
  </w:style>
  <w:style w:type="character" w:customStyle="1" w:styleId="111">
    <w:name w:val="超链接1"/>
    <w:basedOn w:val="41"/>
    <w:autoRedefine/>
    <w:qFormat/>
    <w:uiPriority w:val="0"/>
    <w:rPr>
      <w:rFonts w:ascii="Cambria" w:hAnsi="Cambria" w:eastAsia="宋体" w:cstheme="minorBidi"/>
      <w:color w:val="4F81BD"/>
      <w:kern w:val="0"/>
      <w:sz w:val="24"/>
      <w:szCs w:val="24"/>
      <w:lang w:eastAsia="en-US"/>
    </w:rPr>
  </w:style>
  <w:style w:type="character" w:customStyle="1" w:styleId="112">
    <w:name w:val="副标题 字符"/>
    <w:basedOn w:val="36"/>
    <w:link w:val="26"/>
    <w:autoRedefine/>
    <w:qFormat/>
    <w:uiPriority w:val="0"/>
    <w:rPr>
      <w:rFonts w:ascii="黑体" w:hAnsi="黑体" w:eastAsia="黑体" w:cstheme="minorBidi"/>
      <w:b/>
      <w:bCs/>
      <w:kern w:val="28"/>
      <w:sz w:val="24"/>
      <w:szCs w:val="32"/>
    </w:rPr>
  </w:style>
  <w:style w:type="character" w:customStyle="1" w:styleId="113">
    <w:name w:val="脚注文本 字符"/>
    <w:basedOn w:val="36"/>
    <w:link w:val="27"/>
    <w:autoRedefine/>
    <w:qFormat/>
    <w:uiPriority w:val="9"/>
    <w:rPr>
      <w:rFonts w:ascii="Cambria" w:hAnsi="Cambria" w:cstheme="minorBidi"/>
      <w:sz w:val="24"/>
      <w:szCs w:val="24"/>
      <w:lang w:eastAsia="en-US"/>
    </w:rPr>
  </w:style>
  <w:style w:type="character" w:customStyle="1" w:styleId="114">
    <w:name w:val="批注框文本 字符"/>
    <w:basedOn w:val="36"/>
    <w:link w:val="21"/>
    <w:autoRedefine/>
    <w:qFormat/>
    <w:uiPriority w:val="99"/>
    <w:rPr>
      <w:rFonts w:eastAsia="仿宋" w:cstheme="minorBidi"/>
      <w:kern w:val="2"/>
      <w:sz w:val="18"/>
      <w:szCs w:val="18"/>
    </w:rPr>
  </w:style>
  <w:style w:type="character" w:customStyle="1" w:styleId="115">
    <w:name w:val="批注文字 字符"/>
    <w:basedOn w:val="36"/>
    <w:link w:val="15"/>
    <w:autoRedefine/>
    <w:qFormat/>
    <w:uiPriority w:val="99"/>
    <w:rPr>
      <w:rFonts w:eastAsia="仿宋" w:cstheme="minorBidi"/>
      <w:kern w:val="2"/>
      <w:sz w:val="24"/>
      <w:szCs w:val="22"/>
    </w:rPr>
  </w:style>
  <w:style w:type="character" w:customStyle="1" w:styleId="116">
    <w:name w:val="批注主题 字符"/>
    <w:basedOn w:val="115"/>
    <w:link w:val="33"/>
    <w:autoRedefine/>
    <w:qFormat/>
    <w:uiPriority w:val="99"/>
    <w:rPr>
      <w:rFonts w:eastAsia="仿宋" w:cstheme="minorBidi"/>
      <w:b/>
      <w:bCs/>
      <w:kern w:val="2"/>
      <w:sz w:val="24"/>
      <w:szCs w:val="22"/>
    </w:rPr>
  </w:style>
  <w:style w:type="character" w:customStyle="1" w:styleId="117">
    <w:name w:val="日期 字符"/>
    <w:basedOn w:val="36"/>
    <w:link w:val="20"/>
    <w:autoRedefine/>
    <w:qFormat/>
    <w:uiPriority w:val="0"/>
    <w:rPr>
      <w:rFonts w:asciiTheme="minorHAnsi" w:hAnsiTheme="minorHAnsi" w:eastAsiaTheme="minorEastAsia" w:cstheme="minorBidi"/>
      <w:sz w:val="24"/>
      <w:szCs w:val="24"/>
      <w:lang w:eastAsia="en-US"/>
    </w:rPr>
  </w:style>
  <w:style w:type="paragraph" w:customStyle="1" w:styleId="118">
    <w:name w:val="书目1"/>
    <w:basedOn w:val="1"/>
    <w:autoRedefine/>
    <w:qFormat/>
    <w:uiPriority w:val="0"/>
    <w:pPr>
      <w:widowControl/>
      <w:spacing w:after="200" w:line="240" w:lineRule="auto"/>
      <w:jc w:val="left"/>
    </w:pPr>
    <w:rPr>
      <w:rFonts w:ascii="Cambria" w:hAnsi="Cambria" w:eastAsia="宋体"/>
      <w:kern w:val="0"/>
      <w:szCs w:val="24"/>
      <w:lang w:eastAsia="en-US"/>
    </w:rPr>
  </w:style>
  <w:style w:type="character" w:customStyle="1" w:styleId="119">
    <w:name w:val="未处理的提及1"/>
    <w:basedOn w:val="36"/>
    <w:autoRedefine/>
    <w:semiHidden/>
    <w:unhideWhenUsed/>
    <w:qFormat/>
    <w:uiPriority w:val="99"/>
    <w:rPr>
      <w:color w:val="605E5C"/>
      <w:shd w:val="clear" w:color="auto" w:fill="E1DFDD"/>
    </w:rPr>
  </w:style>
  <w:style w:type="character" w:styleId="120">
    <w:name w:val="Placeholder Text"/>
    <w:basedOn w:val="36"/>
    <w:autoRedefine/>
    <w:semiHidden/>
    <w:qFormat/>
    <w:uiPriority w:val="99"/>
    <w:rPr>
      <w:color w:val="808080"/>
    </w:rPr>
  </w:style>
  <w:style w:type="character" w:customStyle="1" w:styleId="121">
    <w:name w:val="批注框文本 字符1"/>
    <w:basedOn w:val="36"/>
    <w:autoRedefine/>
    <w:qFormat/>
    <w:uiPriority w:val="0"/>
    <w:rPr>
      <w:rFonts w:hint="default" w:ascii="Times New Roman" w:hAnsi="Times New Roman" w:eastAsia="宋体" w:cs="Times New Roman"/>
      <w:kern w:val="0"/>
      <w:sz w:val="18"/>
      <w:szCs w:val="18"/>
    </w:rPr>
  </w:style>
  <w:style w:type="character" w:customStyle="1" w:styleId="122">
    <w:name w:val="md-link"/>
    <w:basedOn w:val="36"/>
    <w:autoRedefine/>
    <w:qFormat/>
    <w:uiPriority w:val="0"/>
  </w:style>
  <w:style w:type="character" w:customStyle="1" w:styleId="123">
    <w:name w:val="批注框文本 字符2"/>
    <w:basedOn w:val="36"/>
    <w:autoRedefine/>
    <w:qFormat/>
    <w:uiPriority w:val="0"/>
    <w:rPr>
      <w:rFonts w:hint="eastAsia" w:ascii="宋体" w:hAnsi="Times New Roman" w:eastAsia="宋体" w:cs="Times New Roman"/>
      <w:color w:val="000000"/>
      <w:sz w:val="18"/>
      <w:szCs w:val="18"/>
    </w:rPr>
  </w:style>
  <w:style w:type="character" w:customStyle="1" w:styleId="124">
    <w:name w:val="论文正文 Char"/>
    <w:basedOn w:val="36"/>
    <w:autoRedefine/>
    <w:qFormat/>
    <w:uiPriority w:val="0"/>
    <w:rPr>
      <w:rFonts w:hint="default" w:ascii="Times New Roman" w:hAnsi="Times New Roman" w:eastAsia="宋体" w:cs="Times New Roman"/>
      <w:kern w:val="2"/>
    </w:rPr>
  </w:style>
  <w:style w:type="character" w:customStyle="1" w:styleId="125">
    <w:name w:val="md-plain"/>
    <w:basedOn w:val="36"/>
    <w:autoRedefine/>
    <w:qFormat/>
    <w:uiPriority w:val="0"/>
  </w:style>
  <w:style w:type="character" w:customStyle="1" w:styleId="126">
    <w:name w:val="msoplaceholdertext"/>
    <w:basedOn w:val="36"/>
    <w:autoRedefine/>
    <w:qFormat/>
    <w:uiPriority w:val="0"/>
    <w:rPr>
      <w:color w:val="808080"/>
    </w:rPr>
  </w:style>
  <w:style w:type="character" w:customStyle="1" w:styleId="127">
    <w:name w:val="md-tab"/>
    <w:basedOn w:val="36"/>
    <w:autoRedefine/>
    <w:qFormat/>
    <w:uiPriority w:val="0"/>
  </w:style>
  <w:style w:type="paragraph" w:customStyle="1" w:styleId="128">
    <w:name w:val="列表段落1"/>
    <w:basedOn w:val="1"/>
    <w:qFormat/>
    <w:uiPriority w:val="0"/>
    <w:pPr>
      <w:ind w:firstLine="420"/>
    </w:pPr>
    <w:rPr>
      <w:rFonts w:eastAsia="仿宋_GB2312" w:cs="Times New Roman"/>
      <w:szCs w:val="24"/>
    </w:rPr>
  </w:style>
  <w:style w:type="character" w:customStyle="1" w:styleId="129">
    <w:name w:val="Unresolved Mention"/>
    <w:basedOn w:val="3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19302</Words>
  <Characters>20182</Characters>
  <Lines>181</Lines>
  <Paragraphs>51</Paragraphs>
  <TotalTime>64</TotalTime>
  <ScaleCrop>false</ScaleCrop>
  <LinksUpToDate>false</LinksUpToDate>
  <CharactersWithSpaces>20465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2026-07-18T08:19:00Z</dcterms:created>
  <dc:creator>47294</dc:creator>
  <cp:lastModifiedBy>丁启楠</cp:lastModifiedBy>
  <cp:lastPrinted>2026-07-18T08:19:00Z</cp:lastPrinted>
  <dcterms:modified xsi:type="dcterms:W3CDTF">2026-07-24T11:36:20Z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D4502CB7B4AC440BA12CFC53909005D6_13</vt:lpwstr>
  </property>
</Properties>
</file>