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Table of Contents</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892565b-b718-4b16-bcff-35e32f779cc2}"/>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Summary</w:t>
              </w:r>
            </w:sdtContent>
          </w:sdt>
          <w:r>
            <w:rPr>
              <w:b/>
              <w:bCs/>
              <w:sz w:val="28"/>
              <w:szCs w:val="28"/>
            </w:rPr>
            <w:tab/>
          </w:r>
          <w:bookmarkStart w:id="1" w:name="_Toc10567_WPSOffice_Level1Page"/>
          <w:r>
            <w:rPr>
              <w:b/>
              <w:bCs/>
              <w:sz w:val="28"/>
              <w:szCs w:val="28"/>
            </w:rPr>
            <w:t>1</w:t>
          </w:r>
          <w:bookmarkEnd w:id="1"/>
          <w:r>
            <w:rPr>
              <w:b/>
              <w:bCs/>
              <w:sz w:val="28"/>
              <w:szCs w:val="28"/>
            </w:rPr>
            <w:fldChar w:fldCharType="end"/>
          </w:r>
        </w:p>
        <w:p>
          <w:pPr>
            <w:pStyle w:val="9"/>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334cb2ea-f9e3-4920-b8f0-c2beaa6a53d4}"/>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lang w:val="en-US" w:eastAsia="zh-CN" w:bidi="en-US"/>
                </w:rPr>
                <w:t>Backgroud</w:t>
              </w:r>
            </w:sdtContent>
          </w:sdt>
          <w:r>
            <w:rPr>
              <w:b/>
              <w:bCs/>
              <w:sz w:val="28"/>
              <w:szCs w:val="28"/>
            </w:rPr>
            <w:tab/>
          </w:r>
          <w:bookmarkStart w:id="2" w:name="_Toc3894_WPSOffice_Level1Page"/>
          <w:r>
            <w:rPr>
              <w:b/>
              <w:bCs/>
              <w:sz w:val="28"/>
              <w:szCs w:val="28"/>
            </w:rPr>
            <w:t>3</w:t>
          </w:r>
          <w:bookmarkEnd w:id="2"/>
          <w:r>
            <w:rPr>
              <w:b/>
              <w:bCs/>
              <w:sz w:val="28"/>
              <w:szCs w:val="28"/>
            </w:rPr>
            <w:fldChar w:fldCharType="end"/>
          </w:r>
        </w:p>
        <w:p>
          <w:pPr>
            <w:pStyle w:val="9"/>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Hyperledger Ctk Introduction</w:t>
          </w:r>
          <w:r>
            <w:rPr>
              <w:b/>
              <w:bCs/>
              <w:sz w:val="28"/>
              <w:szCs w:val="28"/>
            </w:rPr>
            <w:tab/>
          </w:r>
          <w:r>
            <w:rPr>
              <w:rFonts w:hint="eastAsia"/>
              <w:b/>
              <w:bCs/>
              <w:sz w:val="28"/>
              <w:szCs w:val="28"/>
              <w:lang w:val="en-US" w:eastAsia="zh-CN"/>
            </w:rPr>
            <w:t>6</w:t>
          </w:r>
          <w:r>
            <w:rPr>
              <w:b/>
              <w:bCs/>
              <w:sz w:val="28"/>
              <w:szCs w:val="28"/>
            </w:rPr>
            <w:fldChar w:fldCharType="end"/>
          </w:r>
        </w:p>
        <w:p>
          <w:pPr>
            <w:pStyle w:val="9"/>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d50491e2-01a7-4c06-9bfa-9752a215651c}"/>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Introduction to the mine pool node</w:t>
              </w:r>
            </w:sdtContent>
          </w:sdt>
          <w:r>
            <w:rPr>
              <w:sz w:val="28"/>
              <w:szCs w:val="28"/>
            </w:rPr>
            <w:tab/>
          </w:r>
          <w:r>
            <w:rPr>
              <w:rFonts w:hint="eastAsia"/>
              <w:sz w:val="28"/>
              <w:szCs w:val="28"/>
              <w:lang w:val="en-US" w:eastAsia="zh-CN"/>
            </w:rPr>
            <w:t>6</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rFonts w:hint="eastAsia"/>
              <w:sz w:val="28"/>
              <w:szCs w:val="28"/>
              <w:lang w:val="en-US" w:eastAsia="zh-CN"/>
            </w:rPr>
            <w:t>1.2 Progressive mode..........................................................................7</w:t>
          </w:r>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444a2230-0176-4336-8e6a-8eb9833e40ca}"/>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Side chain support plan</w:t>
              </w:r>
            </w:sdtContent>
          </w:sdt>
          <w:r>
            <w:rPr>
              <w:sz w:val="28"/>
              <w:szCs w:val="28"/>
            </w:rPr>
            <w:tab/>
          </w:r>
          <w:r>
            <w:rPr>
              <w:rFonts w:hint="eastAsia"/>
              <w:sz w:val="28"/>
              <w:szCs w:val="28"/>
              <w:lang w:val="en-US" w:eastAsia="zh-CN"/>
            </w:rPr>
            <w:t>8</w:t>
          </w:r>
          <w:r>
            <w:rPr>
              <w:sz w:val="28"/>
              <w:szCs w:val="28"/>
            </w:rPr>
            <w:fldChar w:fldCharType="end"/>
          </w:r>
        </w:p>
        <w:p>
          <w:pPr>
            <w:pStyle w:val="9"/>
            <w:tabs>
              <w:tab w:val="right" w:leader="dot" w:pos="8306"/>
            </w:tabs>
            <w:ind w:firstLine="560" w:firstLineChars="200"/>
            <w:rPr>
              <w:rFonts w:hint="eastAsia" w:eastAsia="宋体"/>
              <w:sz w:val="28"/>
              <w:szCs w:val="28"/>
              <w:lang w:val="en-US" w:eastAsia="zh-CN"/>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84c5559-a63a-4c13-8396-c47c7dfcf0be}"/>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w:t>
              </w:r>
              <w:r>
                <w:rPr>
                  <w:rFonts w:hint="eastAsia" w:ascii="Arial" w:hAnsi="Arial" w:eastAsia="黑体" w:cs="微软雅黑"/>
                  <w:sz w:val="28"/>
                  <w:szCs w:val="28"/>
                  <w:lang w:val="en-US" w:eastAsia="zh-CN"/>
                </w:rPr>
                <w:t xml:space="preserve"> </w:t>
              </w:r>
              <w:r>
                <w:rPr>
                  <w:rFonts w:hint="eastAsia" w:ascii="Arial" w:hAnsi="Arial" w:eastAsia="黑体" w:cs="微软雅黑"/>
                  <w:sz w:val="28"/>
                  <w:szCs w:val="28"/>
                </w:rPr>
                <w:t>bookkeeping output</w:t>
              </w:r>
            </w:sdtContent>
          </w:sdt>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9"/>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3fa627ed-6b28-44ba-a08d-2bccfe7d4517}"/>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bookmarkStart w:id="3" w:name="_Toc251_WPSOffice_Level1Page"/>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w:t>
              </w:r>
              <w:r>
                <w:rPr>
                  <w:rFonts w:hint="eastAsia" w:ascii="Arial" w:hAnsi="Arial" w:eastAsia="黑体" w:cs="微软雅黑"/>
                  <w:sz w:val="28"/>
                  <w:szCs w:val="28"/>
                  <w:lang w:val="en-US" w:eastAsia="zh-CN"/>
                </w:rPr>
                <w:t xml:space="preserve"> node plan</w:t>
              </w:r>
              <w:r>
                <w:rPr>
                  <w:sz w:val="28"/>
                  <w:szCs w:val="28"/>
                </w:rPr>
                <w:tab/>
              </w:r>
              <w:bookmarkEnd w:id="3"/>
              <w:r>
                <w:rPr>
                  <w:rFonts w:hint="eastAsia" w:ascii="Arial" w:hAnsi="Arial" w:eastAsia="黑体" w:cs="微软雅黑"/>
                  <w:sz w:val="28"/>
                  <w:szCs w:val="28"/>
                  <w:lang w:val="en-US" w:eastAsia="zh-CN" w:bidi="en-US"/>
                </w:rPr>
                <w:t>11</w:t>
              </w:r>
            </w:sdtContent>
          </w:sdt>
          <w:r>
            <w:rPr>
              <w:sz w:val="28"/>
              <w:szCs w:val="28"/>
            </w:rPr>
            <w:fldChar w:fldCharType="end"/>
          </w:r>
        </w:p>
        <w:p>
          <w:pPr>
            <w:pStyle w:val="9"/>
            <w:tabs>
              <w:tab w:val="right" w:leader="dot" w:pos="8306"/>
            </w:tabs>
            <w:rPr>
              <w:sz w:val="28"/>
              <w:szCs w:val="28"/>
            </w:rPr>
          </w:pPr>
          <w:r>
            <w:rPr>
              <w:rFonts w:hint="eastAsia" w:ascii="微软雅黑" w:hAnsi="微软雅黑" w:eastAsia="微软雅黑" w:cs="微软雅黑"/>
              <w:sz w:val="28"/>
              <w:szCs w:val="28"/>
              <w:lang w:val="en-US" w:eastAsia="zh-CN" w:bidi="en-US"/>
            </w:rPr>
            <w:t xml:space="preserve"> </w:t>
          </w: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08c7d40e-8372-4da9-966a-db5ae4ec029f}"/>
              </w:placeholder>
            </w:sdtPr>
            <w:sdtEndPr>
              <w:rPr>
                <w:rFonts w:hint="eastAsia" w:ascii="Arial" w:hAnsi="Arial" w:eastAsia="黑体" w:cs="微软雅黑"/>
                <w:sz w:val="28"/>
                <w:szCs w:val="28"/>
                <w:lang w:val="en-US" w:eastAsia="zh-CN"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 Mine</w:t>
              </w:r>
              <w:r>
                <w:rPr>
                  <w:sz w:val="28"/>
                  <w:szCs w:val="28"/>
                </w:rPr>
                <w:tab/>
              </w:r>
              <w:r>
                <w:rPr>
                  <w:rFonts w:hint="eastAsia" w:ascii="Arial" w:hAnsi="Arial" w:eastAsia="黑体" w:cs="微软雅黑"/>
                  <w:sz w:val="28"/>
                  <w:szCs w:val="28"/>
                  <w:lang w:val="en-US" w:eastAsia="zh-CN" w:bidi="en-US"/>
                </w:rPr>
                <w:t>14</w:t>
              </w:r>
            </w:sdtContent>
          </w:sdt>
          <w:r>
            <w:rPr>
              <w:sz w:val="28"/>
              <w:szCs w:val="28"/>
            </w:rPr>
            <w:fldChar w:fldCharType="end"/>
          </w:r>
        </w:p>
        <w:p>
          <w:pPr>
            <w:pStyle w:val="9"/>
            <w:tabs>
              <w:tab w:val="right" w:leader="dot" w:pos="8306"/>
            </w:tabs>
            <w:rPr>
              <w:rFonts w:hint="eastAsia" w:eastAsia="宋体"/>
              <w:b/>
              <w:bCs/>
              <w:sz w:val="28"/>
              <w:szCs w:val="28"/>
              <w:lang w:val="en-US" w:eastAsia="zh-CN"/>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r>
            <w:rPr>
              <w:rFonts w:hint="eastAsia" w:ascii="微软雅黑" w:hAnsi="微软雅黑" w:eastAsia="微软雅黑" w:cs="微软雅黑"/>
              <w:b/>
              <w:bCs/>
              <w:sz w:val="28"/>
              <w:szCs w:val="28"/>
              <w:lang w:val="en-US" w:eastAsia="en-US" w:bidi="en-US"/>
            </w:rPr>
            <w:t>Ctk chain API development document</w:t>
          </w:r>
          <w:r>
            <w:rPr>
              <w:b/>
              <w:bCs/>
              <w:sz w:val="28"/>
              <w:szCs w:val="28"/>
            </w:rPr>
            <w:tab/>
          </w:r>
          <w:r>
            <w:rPr>
              <w:rFonts w:hint="eastAsia"/>
              <w:b/>
              <w:bCs/>
              <w:sz w:val="28"/>
              <w:szCs w:val="28"/>
              <w:lang w:val="en-US" w:eastAsia="zh-CN"/>
            </w:rPr>
            <w:t>1</w:t>
          </w:r>
          <w:r>
            <w:rPr>
              <w:b/>
              <w:bCs/>
              <w:sz w:val="28"/>
              <w:szCs w:val="28"/>
            </w:rPr>
            <w:fldChar w:fldCharType="end"/>
          </w:r>
          <w:r>
            <w:rPr>
              <w:rFonts w:hint="eastAsia"/>
              <w:b/>
              <w:bCs/>
              <w:sz w:val="28"/>
              <w:szCs w:val="28"/>
              <w:lang w:val="en-US" w:eastAsia="zh-CN"/>
            </w:rPr>
            <w:t>5</w:t>
          </w:r>
        </w:p>
        <w:p>
          <w:pPr>
            <w:pStyle w:val="9"/>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r>
            <w:rPr>
              <w:rFonts w:hint="eastAsia"/>
              <w:b/>
              <w:bCs/>
              <w:sz w:val="28"/>
              <w:szCs w:val="28"/>
              <w:lang w:val="en-US" w:eastAsia="zh-CN"/>
            </w:rPr>
            <w:t>T</w:t>
          </w:r>
          <w:r>
            <w:rPr>
              <w:rFonts w:hint="eastAsia" w:ascii="微软雅黑" w:hAnsi="微软雅黑" w:eastAsia="微软雅黑" w:cs="微软雅黑"/>
              <w:b/>
              <w:bCs/>
              <w:sz w:val="28"/>
              <w:szCs w:val="28"/>
              <w:lang w:val="en-US" w:eastAsia="en-US" w:bidi="en-US"/>
            </w:rPr>
            <w:t>hank</w:t>
          </w:r>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6</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4" w:name="_Toc10567_WPSOffice_Level1"/>
      <w:r>
        <w:rPr>
          <w:rFonts w:hint="eastAsia"/>
          <w:lang w:eastAsia="zh-CN"/>
        </w:rPr>
        <w:t>Summary：</w:t>
      </w:r>
      <w:bookmarkEnd w:id="4"/>
    </w:p>
    <w:p>
      <w:pPr>
        <w:ind w:firstLine="562" w:firstLineChars="2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 Ctk</w:t>
      </w:r>
      <w:r>
        <w:rPr>
          <w:rFonts w:hint="eastAsia" w:asciiTheme="minorAscii" w:hAnsiTheme="minorEastAsia" w:eastAsiaTheme="minorEastAsia" w:cstheme="minorEastAsia"/>
          <w:sz w:val="28"/>
          <w:szCs w:val="28"/>
          <w:lang w:eastAsia="zh-CN"/>
        </w:rPr>
        <w:t xml:space="preserve"> ultimately extends the vertical and horizontal performance of decentralized applications with a new blockchain architecture. This is done by creating an architecture similar to the operating system on which the application can be built. It provides account, authentication, database, asynchronous communication, and program scheduling across multiple CPU cores or clusters. This technology, in the context of managing blockchains, is sufficient to support tens of thousands of transactions per second, eliminating user fees and enabling easy and rapid deployment and maintenance of decentralized applications. This white paper describes the industry application of blockchains to drive the formation of new blockchain structures. In addition, this white paper introduces the main model of Code Token. Finally, this white paper describes its mission to promote the blockchain boom.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Anyone who uses the original source and the copyright of the statement without prior permission, without notice, may use, copy or distribute any of the contents of this white paper.</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Disclaimer：Hyperledger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r>
        <w:rPr>
          <w:rFonts w:hint="eastAsia"/>
          <w:lang w:val="en-US" w:eastAsia="zh-CN"/>
        </w:rPr>
        <w:t>B</w:t>
      </w:r>
      <w:r>
        <w:rPr>
          <w:rFonts w:hint="eastAsia"/>
          <w:lang w:eastAsia="zh-CN"/>
        </w:rPr>
        <w:t>ackground</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is an open source project designed to drive cross-industry applications across the blockchain. The Linux Foundation led the project in December 2015, with leaders in the financial, banking, IoT, supply chain, manufacturing and technology industries. The goal of the project is cross-industry development and collaboration of blockchain and distributed accounting systems, with a focus on developing performance and reliability (as opposed to similar digital currency designs) to support major technology, finance and supply chain companies. Global business transactions.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project will inherit independent open protocols and standards, through framework methods and specialized modules, including consensus mechanisms and storage methods for each blockchain, as well as identity services, access control and smart contracts. At present, the various branches of Hyperledger, Intel's Burrow, IBM's Fabric, and 's United Nations Blockchain Foundation's Code Token (Ctk) project are booming.</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 is a global blockchain open source project designed to address the current slow pace of transfer and high transfer fees in the blockchain world.</w:t>
      </w:r>
    </w:p>
    <w:p>
      <w:pPr>
        <w:rPr>
          <w:rFonts w:hint="eastAsia" w:asciiTheme="minorAscii" w:hAnsiTheme="minorEastAsia" w:eastAsiaTheme="minorEastAsia" w:cstheme="minorEastAsia"/>
          <w:sz w:val="28"/>
          <w:szCs w:val="28"/>
          <w:lang w:eastAsia="zh-CN"/>
        </w:rPr>
      </w:pP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The open source address on GitHub is:</w:t>
      </w:r>
    </w:p>
    <w:p>
      <w:pPr>
        <w:ind w:left="280" w:hanging="280" w:hangingChars="100"/>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b/>
          <w:bCs/>
          <w:sz w:val="28"/>
          <w:szCs w:val="28"/>
          <w:lang w:val="en-US" w:eastAsia="zh-CN"/>
        </w:rPr>
        <w:t xml:space="preserve">The Code Token </w:t>
      </w:r>
      <w:r>
        <w:rPr>
          <w:rFonts w:hint="eastAsia" w:asciiTheme="minorAscii" w:hAnsiTheme="minorEastAsia" w:eastAsiaTheme="minorEastAsia" w:cstheme="minorEastAsia"/>
          <w:sz w:val="28"/>
          <w:szCs w:val="28"/>
          <w:lang w:val="en-US" w:eastAsia="zh-CN"/>
        </w:rPr>
        <w:t xml:space="preserve">program generates uncounted super nodes and nodes, and the block data is stored on the super nodes and nodes. Any user can download the Super </w:t>
      </w:r>
      <w:bookmarkStart w:id="10" w:name="_GoBack"/>
      <w:bookmarkEnd w:id="10"/>
      <w:r>
        <w:rPr>
          <w:rFonts w:hint="eastAsia" w:asciiTheme="minorAscii" w:hAnsiTheme="minorEastAsia" w:eastAsiaTheme="minorEastAsia" w:cstheme="minorEastAsia"/>
          <w:sz w:val="28"/>
          <w:szCs w:val="28"/>
          <w:lang w:val="en-US" w:eastAsia="zh-CN"/>
        </w:rPr>
        <w:t>Node and Node program for free on GitHub and set up the running environment. The program will automatically optimize the hardware performance, block storage speed, network access speed, GPU, CPU speed, and the top seven super nodes in 56 days, and issue certificates to these top super nodes.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Regardless of the total number of super nodes in the later period, the program will automatically optimize the hardware performance, block storage speed, network access speed, the top seven super nodes of GPU and CPU operation speed as the main super node, and other super nodes as The standby super node still enjoys the relevant rights of the super node. When Ctk encounters a devastating blow, any node can restore the Ctk network using the freely downloaded node program.</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Hyperledger</w:t>
      </w:r>
      <w:r>
        <w:rPr>
          <w:rFonts w:hint="eastAsia" w:asciiTheme="minorAscii" w:hAnsiTheme="minorEastAsia" w:eastAsiaTheme="minorEastAsia" w:cstheme="minorEastAsia"/>
          <w:sz w:val="28"/>
          <w:szCs w:val="28"/>
          <w:lang w:eastAsia="zh-CN"/>
        </w:rPr>
        <w:t xml:space="preserve"> currently has an absolute leadership and market share in global blockchain applications. Most of the evidence storage users who have a large number of banks' data storage and judicial administrative systems of the judicial system are currently using the underlying technology of Hyperledger. The main users include Intel, ABN AMRO, Accenture and other ten different interests. The goal is to let members work together to build an open platform to meet various user cases from different industries and simplify business. Process. Due to the nature of peer-to-peer networks, distributed ledger technology is fully shared, transparent, and decentralized, making it ideal for applications in the financial industry, as well as countless other industries such as manufacturing, banking, insurance, and the Internet of Things. Virtual and digital forms of value exchange, such as asset contracts, energy trading, marriage certificates, tracking and trading at a safe, cost-effective basis, by creating open standards for distributed ledgers.</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b/>
          <w:bCs/>
          <w:sz w:val="28"/>
          <w:szCs w:val="28"/>
          <w:lang w:eastAsia="zh-CN"/>
        </w:rPr>
        <w:t>The Hyperledger Ctk</w:t>
      </w:r>
      <w:r>
        <w:rPr>
          <w:rFonts w:hint="eastAsia" w:asciiTheme="minorAscii" w:hAnsiTheme="minorEastAsia" w:eastAsiaTheme="minorEastAsia" w:cstheme="minorEastAsia"/>
          <w:sz w:val="28"/>
          <w:szCs w:val="28"/>
          <w:lang w:eastAsia="zh-CN"/>
        </w:rPr>
        <w:t xml:space="preserve"> project is the first open source project to address global financial payments. The project uses an open API interface that provides better smart contracts and self-programming technical support for the sidechain. In the issuance mechanism, the manipulation of the benefit eviction is abandoned, and its unique "community mode" ensures the stability of the value of the public token Token. The “black hole annihilation” mechanism of the public chain and the “side chain support plan” mechanism ensure that the circulation speed is multiplied and ecological prosperity.</w:t>
      </w: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5" w:name="_Toc16036_WPSOffice_Level1"/>
      <w:r>
        <w:rPr>
          <w:rFonts w:hint="eastAsia"/>
          <w:lang w:val="en-US" w:eastAsia="zh-CN"/>
        </w:rPr>
        <w:t>Hyperledger Ctk</w:t>
      </w:r>
      <w:bookmarkEnd w:id="5"/>
      <w:r>
        <w:rPr>
          <w:rFonts w:hint="eastAsia"/>
          <w:lang w:val="en-US" w:eastAsia="zh-CN"/>
        </w:rPr>
        <w:t xml:space="preserve"> </w:t>
      </w:r>
      <w:r>
        <w:rPr>
          <w:rFonts w:hint="eastAsia"/>
          <w:lang w:eastAsia="zh-CN"/>
        </w:rPr>
        <w:t>Introduction</w:t>
      </w:r>
      <w:bookmarkStart w:id="6" w:name="_Toc3084_WPSOffice_Level1"/>
    </w:p>
    <w:p>
      <w:pPr>
        <w:pStyle w:val="2"/>
      </w:pPr>
      <w:r>
        <w:rPr>
          <w:rFonts w:hint="eastAsia"/>
          <w:lang w:val="en-US" w:eastAsia="zh-CN"/>
        </w:rPr>
        <w:t>1.1</w:t>
      </w:r>
      <w:bookmarkEnd w:id="6"/>
      <w:r>
        <w:rPr>
          <w:rFonts w:hint="eastAsia"/>
          <w:lang w:val="en-US" w:eastAsia="zh-CN"/>
        </w:rPr>
        <w:t xml:space="preserve"> </w:t>
      </w:r>
      <w:r>
        <w:rPr>
          <w:rFonts w:hint="eastAsia" w:ascii="Arial" w:hAnsi="Arial" w:eastAsia="黑体" w:cs="微软雅黑"/>
          <w:sz w:val="28"/>
          <w:szCs w:val="28"/>
        </w:rPr>
        <w:t>Mine Pool Node Introduction</w:t>
      </w:r>
      <w:r>
        <w:rPr>
          <w:rFonts w:hint="eastAsia" w:asciiTheme="minorAscii" w:hAnsiTheme="minorEastAsia" w:eastAsiaTheme="minorEastAsia" w:cstheme="minorEastAsia"/>
          <w:b/>
          <w:bCs w:val="0"/>
          <w:sz w:val="28"/>
          <w:szCs w:val="28"/>
          <w:lang w:val="en-US" w:eastAsia="zh-CN"/>
        </w:rPr>
        <w:t>Ctk</w:t>
      </w:r>
      <w:r>
        <w:rPr>
          <w:rFonts w:hint="eastAsia" w:asciiTheme="minorAscii" w:hAnsiTheme="minorEastAsia" w:eastAsiaTheme="minorEastAsia" w:cstheme="minorEastAsia"/>
          <w:b w:val="0"/>
          <w:bCs/>
          <w:sz w:val="28"/>
          <w:szCs w:val="28"/>
          <w:lang w:val="en-US" w:eastAsia="zh-CN"/>
        </w:rPr>
        <w:t xml:space="preserve"> generates 24,485,500,500 pieces from the smart contract constants, and all generated Tokens are locked using smart contracts, and are only used for mining in "communication mode". When entering the 1USDT:1Ctk ratio, all the Ctk pools are hollowed out. The annihilation mechanism is carried out from start to finish until the constant deflation reaches 21 million.</w:t>
      </w: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p>
    <w:p>
      <w:pPr>
        <w:pStyle w:val="3"/>
      </w:pPr>
    </w:p>
    <w:p>
      <w:pPr>
        <w:pStyle w:val="3"/>
        <w:rPr>
          <w:rFonts w:hint="eastAsia" w:asciiTheme="minorEastAsia" w:hAnsiTheme="minorEastAsia" w:eastAsiaTheme="minorEastAsia" w:cstheme="minorEastAsia"/>
          <w:b/>
          <w:bCs/>
          <w:sz w:val="44"/>
          <w:szCs w:val="44"/>
          <w:lang w:val="en-US" w:eastAsia="zh-CN"/>
        </w:rPr>
      </w:pPr>
      <w:r>
        <w:rPr>
          <w:rFonts w:hint="eastAsia"/>
          <w:lang w:val="en-US" w:eastAsia="zh-CN"/>
        </w:rPr>
        <w:t>1.2 Progressive mode</w:t>
      </w:r>
    </w:p>
    <w:tbl>
      <w:tblPr>
        <w:tblStyle w:val="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Progress</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Co-in mechanism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10Ten thousand </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200,000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Accumulated 300,000 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ind w:firstLine="560" w:firstLineChars="200"/>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Cumulative exchange of </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24498550000 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accounting fee generated by each application (transfer), issue, deposit certificate, etc. is annihilated by 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The final remaining 21 million</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When you enter together, the exchange value is 100USDT for 7000 Ctk. For each exchange to 100,000 USDT, the Ctk will be reduced by one, the exchange value will be changed to 100USDT for 6999 Ctk, and so on. The total number of Code Token will be 24,485,500,500. When the progress is progressed to 1USDT for 1Ctk, all Code Tokens will be mined.</w:t>
      </w:r>
      <w:bookmarkStart w:id="7" w:name="_Toc17387_WPSOffice_Level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 the side chain for side chain issuance, transfer, API interface call, smart contract call, chain storage data application, the consumed public chain Token annihilates 10% each time, and finally 2100 constants remain.</w:t>
      </w:r>
    </w:p>
    <w:p>
      <w:pPr>
        <w:pStyle w:val="3"/>
        <w:rPr>
          <w:rFonts w:hint="eastAsia"/>
          <w:lang w:val="en-US" w:eastAsia="zh-CN"/>
        </w:rPr>
      </w:pPr>
      <w:r>
        <w:rPr>
          <w:rFonts w:hint="eastAsia"/>
          <w:lang w:val="en-US" w:eastAsia="zh-CN"/>
        </w:rPr>
        <w:t>1.3</w:t>
      </w:r>
      <w:bookmarkEnd w:id="7"/>
      <w:r>
        <w:rPr>
          <w:rFonts w:hint="eastAsia"/>
          <w:lang w:val="en-US" w:eastAsia="zh-CN"/>
        </w:rPr>
        <w:t xml:space="preserve"> Side chain support plan</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All USDT received in the Common Mode will be used to buy back 100% of the Ctk, repo to the Ctk 100% to support the development of the side chain. The repurchase plan is maintained in the order of the first round of repurchase 100000 usdt at the ratio of 100 to 7000, the second round of repurchase 100000 usdt at 100: 6999, and so on. All the information in the contract is open to the public and no one can move to ensure the fairness and transparency of the project.</w:t>
      </w:r>
    </w:p>
    <w:tbl>
      <w:tblPr>
        <w:tblStyle w:val="8"/>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0"/>
        <w:gridCol w:w="2568"/>
        <w:gridCol w:w="3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Number of Token applications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Apply for support plan conditions</w:t>
            </w:r>
          </w:p>
        </w:tc>
        <w:tc>
          <w:tcPr>
            <w:tcW w:w="3504"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Application fee refund cycle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Fill in by yourself (eg 1 million pieces)</w:t>
            </w:r>
          </w:p>
        </w:tc>
        <w:tc>
          <w:tcPr>
            <w:tcW w:w="25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 xml:space="preserve">0% mortgage required (ie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00,000)</w:t>
            </w:r>
          </w:p>
        </w:tc>
        <w:tc>
          <w:tcPr>
            <w:tcW w:w="350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 xml:space="preserve">Returned in 10 months, returning 10% per month (ie returning </w:t>
            </w:r>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lang w:eastAsia="zh-CN"/>
              </w:rPr>
              <w:t>0,000 pieces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eastAsia="zh-CN"/>
              </w:rPr>
              <w:t>Note</w:t>
            </w:r>
            <w:r>
              <w:rPr>
                <w:rFonts w:hint="eastAsia" w:asciiTheme="minorEastAsia" w:hAnsiTheme="minorEastAsia" w:eastAsiaTheme="minorEastAsia" w:cstheme="minorEastAsia"/>
                <w:sz w:val="28"/>
                <w:szCs w:val="28"/>
                <w:lang w:eastAsia="zh-CN"/>
              </w:rPr>
              <w:t>: All Tokens are locked with smart contracts and executed automatically. All applications require a three-day publicity period. Anyone who holds Ctk during the publicity period can use Ctk to vote for democratic decision-making (over 70% of the votes must be approved).</w:t>
            </w:r>
          </w:p>
        </w:tc>
      </w:tr>
    </w:tbl>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Applicants need to fill in the side chain abbreviation of the supported side chain, project briefs and other information, mortgage the application to support the 100% Ctk of the number of tokens, and after more than 70% of the referendum votes and the number of votes exceeded the application quota of 10% can be successful . The Ctk mortgaged by the applicant and the Ctk ticket voted by the voter will return at the original transfer address in the first month after the vote ends. It will be returned 10% per month in ten months, and all the mortgaged tokens will be returned. If the application is unsuccessful, the smart contract will be automatically executed immediately after being rejected, and the Token for which the mortgage is applied will be returned to the application account according to the original transfer address.</w:t>
      </w:r>
    </w:p>
    <w:tbl>
      <w:tblPr>
        <w:tblStyle w:val="8"/>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Voting ratio</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Mortgage time</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Return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1Token is a vote</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months</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Return 10% per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bookmarkStart w:id="8" w:name="_Toc25210_WPSOffice_Level1"/>
            <w:r>
              <w:rPr>
                <w:rFonts w:hint="eastAsia" w:asciiTheme="minorEastAsia" w:hAnsiTheme="minorEastAsia" w:eastAsiaTheme="minorEastAsia" w:cstheme="minorEastAsia"/>
                <w:b/>
                <w:bCs/>
                <w:sz w:val="28"/>
                <w:szCs w:val="28"/>
                <w:lang w:eastAsia="zh-CN"/>
              </w:rPr>
              <w:t>Remarks</w:t>
            </w:r>
            <w:r>
              <w:rPr>
                <w:rFonts w:hint="eastAsia" w:asciiTheme="minorEastAsia" w:hAnsiTheme="minorEastAsia" w:eastAsiaTheme="minorEastAsia" w:cstheme="minorEastAsia"/>
                <w:sz w:val="28"/>
                <w:szCs w:val="28"/>
                <w:lang w:eastAsia="zh-CN"/>
              </w:rPr>
              <w:t>: The voting period is 3 days, and the return of the smart contract begins after the voting.</w:t>
            </w:r>
          </w:p>
        </w:tc>
      </w:tr>
    </w:tbl>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Summary: The support plan aims to provide the start-up expenses for the excellent sidechains recognized by the referendum during the start-up period. It is only used to reimburse the billing expenses generated during the side chain operation, and fully implements the smart contract execution to ensure the fairness, openness, and governance of the platform. shared.</w:t>
      </w:r>
    </w:p>
    <w:p>
      <w:pPr>
        <w:rPr>
          <w:rFonts w:hint="eastAsia"/>
          <w:lang w:eastAsia="zh-CN"/>
        </w:rPr>
      </w:pPr>
    </w:p>
    <w:p>
      <w:pPr>
        <w:pStyle w:val="3"/>
        <w:rPr>
          <w:rFonts w:hint="eastAsia" w:asciiTheme="minorEastAsia" w:hAnsiTheme="minorEastAsia" w:eastAsiaTheme="minorEastAsia" w:cstheme="minorEastAsia"/>
          <w:lang w:val="en-US" w:eastAsia="zh-CN"/>
        </w:rPr>
      </w:pPr>
      <w:r>
        <w:rPr>
          <w:rFonts w:hint="eastAsia"/>
          <w:lang w:val="en-US" w:eastAsia="zh-CN"/>
        </w:rPr>
        <w:t>1.4</w:t>
      </w:r>
      <w:bookmarkEnd w:id="8"/>
      <w:r>
        <w:rPr>
          <w:rFonts w:hint="eastAsia"/>
          <w:lang w:val="en-US" w:eastAsia="zh-CN"/>
        </w:rPr>
        <w:t xml:space="preserve"> Mine pool accounting output</w:t>
      </w:r>
    </w:p>
    <w:tbl>
      <w:tblPr>
        <w:tblStyle w:val="8"/>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7"/>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project name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Accounting reward 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Side chain release</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Transfer</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1Ctk (automatically adjusted according to the progress of the progress)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 interface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Smart contract call</w:t>
            </w:r>
          </w:p>
        </w:tc>
        <w:tc>
          <w:tcPr>
            <w:tcW w:w="507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300,000 pledges during use (automatically adjusted according to the progress of the joint progress), refunded after 10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7"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 data storage</w:t>
            </w:r>
          </w:p>
        </w:tc>
        <w:tc>
          <w:tcPr>
            <w:tcW w:w="507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Full referendum on fees</w:t>
            </w:r>
          </w:p>
        </w:tc>
      </w:tr>
    </w:tbl>
    <w:p>
      <w:pPr>
        <w:pStyle w:val="3"/>
        <w:rPr>
          <w:rFonts w:hint="eastAsia" w:asciiTheme="minorEastAsia" w:hAnsiTheme="minorEastAsia" w:eastAsiaTheme="minorEastAsia" w:cstheme="minorEastAsia"/>
          <w:b w:val="0"/>
          <w:sz w:val="28"/>
          <w:szCs w:val="28"/>
          <w:lang w:val="en-US" w:eastAsia="zh-CN" w:bidi="en-US"/>
        </w:rPr>
      </w:pPr>
      <w:bookmarkStart w:id="9" w:name="_Toc251_WPSOffice_Level1"/>
      <w:r>
        <w:rPr>
          <w:rFonts w:hint="eastAsia" w:asciiTheme="minorEastAsia" w:hAnsiTheme="minorEastAsia" w:eastAsiaTheme="minorEastAsia" w:cstheme="minorEastAsia"/>
          <w:b w:val="0"/>
          <w:sz w:val="28"/>
          <w:szCs w:val="28"/>
          <w:lang w:val="en-US" w:eastAsia="zh-CN" w:bidi="en-US"/>
        </w:rPr>
        <w:t>Remarks: Every 3 to 10 transactions generate a new block. After the node obtains the block accounting right, each time a new block is generated, a block reward is executed, and the token reward for the transaction fee is obtained.</w:t>
      </w:r>
    </w:p>
    <w:p>
      <w:pPr>
        <w:pStyle w:val="3"/>
        <w:rPr>
          <w:rFonts w:hint="eastAsia"/>
          <w:lang w:val="en-US" w:eastAsia="zh-CN"/>
        </w:rPr>
      </w:pPr>
      <w:r>
        <w:rPr>
          <w:rFonts w:hint="eastAsia"/>
          <w:lang w:val="en-US" w:eastAsia="zh-CN"/>
        </w:rPr>
        <w:t>1.5</w:t>
      </w:r>
      <w:bookmarkEnd w:id="9"/>
      <w:r>
        <w:rPr>
          <w:rFonts w:hint="eastAsia"/>
          <w:lang w:val="en-US" w:eastAsia="zh-CN"/>
        </w:rPr>
        <w:t xml:space="preserve"> Mine pool node plan</w:t>
      </w:r>
    </w:p>
    <w:tbl>
      <w:tblPr>
        <w:tblStyle w:val="8"/>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name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Application conditions</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revenue</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Payment return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Super 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Pay 30 million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 of bookkeeping rewards</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Don't return 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Mortgage 300,000 (automatic adjustment according to progress progress) Ctk purchase certificate</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Ten years of mortgage, 10% of Ctk returned every month after ten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Black hole annihilation</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 of the bookkeeping reward</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Disappear directly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Remarks: After the mortgage is completed, you will get an encryption certificate. After downloading the open source program configuration environment for free, fill in the encryption certificate.</w:t>
            </w:r>
          </w:p>
        </w:tc>
      </w:tr>
    </w:tbl>
    <w:p>
      <w:pPr>
        <w:pStyle w:val="3"/>
        <w:rPr>
          <w:rFonts w:hint="eastAsia"/>
          <w:lang w:val="en-US" w:eastAsia="zh-CN"/>
        </w:rPr>
      </w:pPr>
      <w:r>
        <w:rPr>
          <w:rFonts w:hint="eastAsia"/>
          <w:lang w:val="en-US" w:eastAsia="zh-CN"/>
        </w:rPr>
        <w:t>CTK blockchain network super node startup</w:t>
      </w:r>
    </w:p>
    <w:p>
      <w:pPr>
        <w:rPr>
          <w:rFonts w:hint="eastAsia"/>
          <w:lang w:val="en-US" w:eastAsia="zh-CN"/>
        </w:rPr>
      </w:pPr>
      <w:r>
        <w:rPr>
          <w:rFonts w:hint="eastAsia"/>
          <w:lang w:val="en-US" w:eastAsia="zh-CN"/>
        </w:rPr>
        <w:t>The creation of the super node is completely free and open. Anyone can download the super node code program for free on the github and participate in the super node campaign. After downloading the super node code program for free on github, the user only needs to start the node program before August 18, 2019, New York time. The program will automatically optimize the hardware performance, block storage speed, and network access speed ranking within 72 hours. The top seven super nodes, and issued certificates to these top super nodes.</w:t>
      </w:r>
    </w:p>
    <w:p>
      <w:pPr>
        <w:rPr>
          <w:rFonts w:hint="eastAsia"/>
          <w:lang w:val="en-US" w:eastAsia="zh-CN"/>
        </w:rPr>
      </w:pPr>
      <w:r>
        <w:rPr>
          <w:rFonts w:hint="eastAsia"/>
          <w:lang w:val="en-US" w:eastAsia="zh-CN"/>
        </w:rPr>
        <w:t>Running a super node requires a certain amount of hardware performance to maintain the efficiency and security of the network. The system will automatically filter and eliminate the network environment and hardware requirements. Please ensure that you meet the requirements of running the super node. The recommended hardware is: vCpu: 128 ECU: 349 Memory: 1952Gib Storage: 2*1920SSD, and the bandwidth cost is not less than 50,000 USD/year. The system will automatically issue the certificate after three days of smooth operation. (The rewards won by the first super nodes will not be issued within six months)</w:t>
      </w:r>
    </w:p>
    <w:p>
      <w:pPr>
        <w:rPr>
          <w:rFonts w:hint="eastAsia"/>
          <w:lang w:val="en-US" w:eastAsia="zh-CN"/>
        </w:rPr>
      </w:pPr>
      <w:r>
        <w:rPr>
          <w:rFonts w:hint="eastAsia"/>
          <w:lang w:val="en-US" w:eastAsia="zh-CN"/>
        </w:rPr>
        <w:t>SuperNodes are completely open source and open, and anyone can opt out or join in the early or late stages. On August 18, 2019, New York time, the first super nodes will issue certificates. After the first batch of Genesis nodes obtained the certificate and operated stably, the certificate that still wants to join the super node in the later period needs to mortgage 30 million CTK, and the mortgage period is ten years. Regardless of the total number of super nodes in the later period, the program will automatically optimize the hardware performance, block storage speed, network access speed, the top seven super nodes of GPU and CPU operation speed as the main super node, and other super nodes as The standby super node still enjoys the relevant rights of the super node.</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r>
        <w:rPr>
          <w:rFonts w:hint="eastAsia" w:asciiTheme="minorAscii" w:hAnsiTheme="minorEastAsia" w:eastAsiaTheme="minorEastAsia" w:cstheme="minorEastAsia"/>
          <w:b/>
          <w:bCs/>
          <w:sz w:val="52"/>
          <w:szCs w:val="52"/>
          <w:lang w:val="en-US" w:eastAsia="zh-CN" w:bidi="en-US"/>
        </w:rPr>
        <w:t>1.6 Mine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application criteria: Mine applicants need to mortgage 1 million Code Token to apply for a mine certificate. After the application is successful, the mortgage token will be returned within 10 months, and 10% will be returned every month.</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Mine program acquisition: Mine open source programs can be downloaded directly from the Github open source community for free.</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Node Mine Hosting: The mine provides data storage hosting services to the nodes, which will be rewarded with 10% of the accounting revenue of the managed nodes. The greater the bandwidth of the mine, the higher the computing power and the faster the speed, it will be more likely to obtain priority billing rights. In order to ensure the high computing power, the hardware investment of the mine is relatively large compared with the ordinary nodes. Generally speaking, the accounting rewards of the mining pool are mostly better than the ordinary nodes.</w:t>
      </w:r>
    </w:p>
    <w:p>
      <w:pPr>
        <w:tabs>
          <w:tab w:val="left" w:pos="2091"/>
        </w:tabs>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Calculation of power rental: It is recommended that the bandwidth occupancy fee for the calculation of the power rental, the electricity fee, and the comprehensive usage fee for the aircraft usage fee should be no less than US$1,000/year to ensure that there is sufficient funds for the mine node to calculate the normal operation.</w:t>
      </w: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Ascii" w:hAnsiTheme="minorEastAsia" w:eastAsiaTheme="minorEastAsia" w:cstheme="minorEastAsia"/>
          <w:b/>
          <w:bCs/>
          <w:sz w:val="52"/>
          <w:szCs w:val="52"/>
          <w:lang w:val="en-US" w:eastAsia="zh-CN" w:bidi="en-US"/>
        </w:rPr>
      </w:pP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b/>
          <w:bCs/>
          <w:sz w:val="52"/>
          <w:szCs w:val="52"/>
          <w:lang w:val="en-US" w:eastAsia="zh-CN" w:bidi="en-US"/>
        </w:rPr>
        <w:t>Ctk chain API development document</w:t>
      </w:r>
      <w:r>
        <w:rPr>
          <w:rFonts w:hint="eastAsia" w:asciiTheme="minorEastAsia" w:hAnsiTheme="minorEastAsia" w:eastAsiaTheme="minorEastAsia" w:cstheme="minorEastAsia"/>
          <w:sz w:val="28"/>
          <w:szCs w:val="28"/>
        </w:rPr>
        <w:t>Function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Create an account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Query the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 Batch check balance</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4. Query the transaction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5. Create a transfer transaction</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6. Query transaction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7. Query the token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8. Query token details</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9. Query individual block information based on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10. Query individual block information according to block hash</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11. Get the transaction ID (txnId)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12. Query the list of transactions contained in the block based on the block number</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13. Query token mining revenue list</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14. Query the token income that can be collected</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15.token mining income receipt</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16. Query token mining revenue details</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 xml:space="preserve">Detailed development documentation can be found on Github's </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val="en-US" w:eastAsia="zh-CN"/>
        </w:rPr>
        <w:t xml:space="preserve">Hyperledger Ctk open source project download: </w:t>
      </w: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r>
        <w:rPr>
          <w:rFonts w:hint="eastAsia"/>
          <w:lang w:val="en-US" w:eastAsia="zh-CN"/>
        </w:rPr>
        <w:t>Thank</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The World Linux Foundation and the World United Nations Blockchain Foundation  are committed to the prosperity of the global blockchain and hope to establish a world of blockchain based on technological innovation. Really realize: co-governance, sharing, and common decentralization The community, the community nodes and the token holders determine the development direction and fate of the project, and the project management of the foundation plays a guiding role. After all the tokens are successfully issued, the foundation will withdraw and the whole community will be handed over to the community personnel and the token holder. Carry out management and advancement, so that blockchain technology can truly benefit the people.</w:t>
      </w:r>
    </w:p>
    <w:p>
      <w:pPr>
        <w:rPr>
          <w:rFonts w:hint="eastAsia"/>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 xml:space="preserve"> project source code, open API, sample code can be downloaded free of charge through the open source community, community management is completely decided by the users who hold Code Token. All USDT acquired in the “communicative mode” will be used 100% to repurchase Ctk to support ecological development; let each programmer who really loves the blockchain jointly maintain our code token, a code belonging to the common, common , a common blockchain project!</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Thanks to the code contributions of the main developers: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HansChristian</w:t>
      </w:r>
    </w:p>
    <w:p>
      <w:pPr>
        <w:rPr>
          <w:rFonts w:hint="eastAsia" w:asciiTheme="minorAscii"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Abdelkrim</w:t>
      </w:r>
    </w:p>
    <w:p>
      <w:pPr>
        <w:rPr>
          <w:rFonts w:hint="eastAsia" w:asciiTheme="minorEastAsia" w:hAnsiTheme="minorEastAsia" w:eastAsiaTheme="minorEastAsia" w:cstheme="minorEastAsia"/>
          <w:b/>
          <w:bCs/>
          <w:sz w:val="28"/>
          <w:szCs w:val="28"/>
          <w:lang w:val="en-US" w:eastAsia="zh-CN"/>
        </w:rPr>
      </w:pPr>
      <w:r>
        <w:rPr>
          <w:rFonts w:hint="eastAsia" w:asciiTheme="minorAscii" w:hAnsiTheme="minorEastAsia" w:eastAsiaTheme="minorEastAsia" w:cstheme="minorEastAsia"/>
          <w:sz w:val="28"/>
          <w:szCs w:val="28"/>
          <w:lang w:val="en-US" w:eastAsia="zh-CN"/>
        </w:rPr>
        <w:t>DanielO'Prey</w:t>
      </w: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white papers of </w: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939C4"/>
    <w:rsid w:val="05304CDF"/>
    <w:rsid w:val="144E52DA"/>
    <w:rsid w:val="179939C4"/>
    <w:rsid w:val="1B24423C"/>
    <w:rsid w:val="1E7E3388"/>
    <w:rsid w:val="22551214"/>
    <w:rsid w:val="34960C14"/>
    <w:rsid w:val="453A7B58"/>
    <w:rsid w:val="48851613"/>
    <w:rsid w:val="579D5B4E"/>
    <w:rsid w:val="65A43097"/>
    <w:rsid w:val="752B4AD2"/>
    <w:rsid w:val="76CE0E6E"/>
    <w:rsid w:val="7A25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892565b-b718-4b16-bcff-35e32f779cc2}"/>
        <w:style w:val=""/>
        <w:category>
          <w:name w:val="常规"/>
          <w:gallery w:val="placeholder"/>
        </w:category>
        <w:types>
          <w:type w:val="bbPlcHdr"/>
        </w:types>
        <w:behaviors>
          <w:behavior w:val="content"/>
        </w:behaviors>
        <w:description w:val=""/>
        <w:guid w:val="{f892565b-b718-4b16-bcff-35e32f779cc2}"/>
      </w:docPartPr>
      <w:docPartBody>
        <w:p>
          <w:r>
            <w:rPr>
              <w:color w:val="808080"/>
            </w:rPr>
            <w:t>单击此处输入文字。</w:t>
          </w:r>
        </w:p>
      </w:docPartBody>
    </w:docPart>
    <w:docPart>
      <w:docPartPr>
        <w:name w:val="{334cb2ea-f9e3-4920-b8f0-c2beaa6a53d4}"/>
        <w:style w:val=""/>
        <w:category>
          <w:name w:val="常规"/>
          <w:gallery w:val="placeholder"/>
        </w:category>
        <w:types>
          <w:type w:val="bbPlcHdr"/>
        </w:types>
        <w:behaviors>
          <w:behavior w:val="content"/>
        </w:behaviors>
        <w:description w:val=""/>
        <w:guid w:val="{334cb2ea-f9e3-4920-b8f0-c2beaa6a53d4}"/>
      </w:docPartPr>
      <w:docPartBody>
        <w:p>
          <w:r>
            <w:rPr>
              <w:color w:val="808080"/>
            </w:rPr>
            <w:t>单击此处输入文字。</w:t>
          </w:r>
        </w:p>
      </w:docPartBody>
    </w:docPart>
    <w:docPart>
      <w:docPartPr>
        <w:name w:val="{d50491e2-01a7-4c06-9bfa-9752a215651c}"/>
        <w:style w:val=""/>
        <w:category>
          <w:name w:val="常规"/>
          <w:gallery w:val="placeholder"/>
        </w:category>
        <w:types>
          <w:type w:val="bbPlcHdr"/>
        </w:types>
        <w:behaviors>
          <w:behavior w:val="content"/>
        </w:behaviors>
        <w:description w:val=""/>
        <w:guid w:val="{d50491e2-01a7-4c06-9bfa-9752a215651c}"/>
      </w:docPartPr>
      <w:docPartBody>
        <w:p>
          <w:r>
            <w:rPr>
              <w:color w:val="808080"/>
            </w:rPr>
            <w:t>单击此处输入文字。</w:t>
          </w:r>
        </w:p>
      </w:docPartBody>
    </w:docPart>
    <w:docPart>
      <w:docPartPr>
        <w:name w:val="{444a2230-0176-4336-8e6a-8eb9833e40ca}"/>
        <w:style w:val=""/>
        <w:category>
          <w:name w:val="常规"/>
          <w:gallery w:val="placeholder"/>
        </w:category>
        <w:types>
          <w:type w:val="bbPlcHdr"/>
        </w:types>
        <w:behaviors>
          <w:behavior w:val="content"/>
        </w:behaviors>
        <w:description w:val=""/>
        <w:guid w:val="{444a2230-0176-4336-8e6a-8eb9833e40ca}"/>
      </w:docPartPr>
      <w:docPartBody>
        <w:p>
          <w:r>
            <w:rPr>
              <w:color w:val="808080"/>
            </w:rPr>
            <w:t>单击此处输入文字。</w:t>
          </w:r>
        </w:p>
      </w:docPartBody>
    </w:docPart>
    <w:docPart>
      <w:docPartPr>
        <w:name w:val="{284c5559-a63a-4c13-8396-c47c7dfcf0be}"/>
        <w:style w:val=""/>
        <w:category>
          <w:name w:val="常规"/>
          <w:gallery w:val="placeholder"/>
        </w:category>
        <w:types>
          <w:type w:val="bbPlcHdr"/>
        </w:types>
        <w:behaviors>
          <w:behavior w:val="content"/>
        </w:behaviors>
        <w:description w:val=""/>
        <w:guid w:val="{284c5559-a63a-4c13-8396-c47c7dfcf0be}"/>
      </w:docPartPr>
      <w:docPartBody>
        <w:p>
          <w:r>
            <w:rPr>
              <w:color w:val="808080"/>
            </w:rPr>
            <w:t>单击此处输入文字。</w:t>
          </w:r>
        </w:p>
      </w:docPartBody>
    </w:docPart>
    <w:docPart>
      <w:docPartPr>
        <w:name w:val="{3fa627ed-6b28-44ba-a08d-2bccfe7d4517}"/>
        <w:style w:val=""/>
        <w:category>
          <w:name w:val="常规"/>
          <w:gallery w:val="placeholder"/>
        </w:category>
        <w:types>
          <w:type w:val="bbPlcHdr"/>
        </w:types>
        <w:behaviors>
          <w:behavior w:val="content"/>
        </w:behaviors>
        <w:description w:val=""/>
        <w:guid w:val="{3fa627ed-6b28-44ba-a08d-2bccfe7d4517}"/>
      </w:docPartPr>
      <w:docPartBody>
        <w:p>
          <w:r>
            <w:rPr>
              <w:color w:val="808080"/>
            </w:rPr>
            <w:t>单击此处输入文字。</w:t>
          </w:r>
        </w:p>
      </w:docPartBody>
    </w:docPart>
    <w:docPart>
      <w:docPartPr>
        <w:name w:val="{08c7d40e-8372-4da9-966a-db5ae4ec029f}"/>
        <w:style w:val=""/>
        <w:category>
          <w:name w:val="常规"/>
          <w:gallery w:val="placeholder"/>
        </w:category>
        <w:types>
          <w:type w:val="bbPlcHdr"/>
        </w:types>
        <w:behaviors>
          <w:behavior w:val="content"/>
        </w:behaviors>
        <w:description w:val=""/>
        <w:guid w:val="{08c7d40e-8372-4da9-966a-db5ae4ec029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2019-07-11T06:59:00Z</dcterms:created>
  <dc:creator>Administrator</dc:creator>
  <cp:lastModifiedBy>Administrator</cp:lastModifiedBy>
  <dcterms:modified xsi:type="dcterms:W3CDTF">2019-08-24T09:14:09Z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