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djwz0fpgbhnl" w:id="0"/>
      <w:bookmarkEnd w:id="0"/>
      <w:r w:rsidDel="00000000" w:rsidR="00000000" w:rsidRPr="00000000">
        <w:rPr>
          <w:b w:val="1"/>
          <w:bCs w:val="1"/>
          <w:rtl w:val="0"/>
        </w:rPr>
        <w:t xml:space="preserve">PROJECT ATLAS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fsv0ptp6d3x" w:id="1"/>
      <w:bookmarkEnd w:id="1"/>
      <w:r w:rsidDel="00000000" w:rsidR="00000000" w:rsidRPr="00000000">
        <w:rPr>
          <w:rtl w:val="0"/>
        </w:rPr>
        <w:t xml:space="preserve">CloudCore Inc. | Proposed Acquisition of DataStream Analytics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Investment </w:t>
      </w:r>
      <w:r w:rsidDel="00000000" w:rsidR="00000000" w:rsidRPr="00000000">
        <w:rPr>
          <w:sz w:val="26"/>
          <w:szCs w:val="26"/>
          <w:rtl w:val="0"/>
        </w:rPr>
        <w:t xml:space="preserve">Memorandum</w:t>
      </w:r>
      <w:r w:rsidDel="00000000" w:rsidR="00000000" w:rsidRPr="00000000">
        <w:rPr>
          <w:sz w:val="26"/>
          <w:szCs w:val="26"/>
          <w:rtl w:val="0"/>
        </w:rPr>
        <w:t xml:space="preserve"> / Memorándum de Inversión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505"/>
        <w:gridCol w:w="1545"/>
        <w:gridCol w:w="2925"/>
        <w:tblGridChange w:id="0">
          <w:tblGrid>
            <w:gridCol w:w="1965"/>
            <w:gridCol w:w="2505"/>
            <w:gridCol w:w="154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Acquiror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CloudCore Inc. (NYSE:CLC)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DataStream Analytics (private)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Transaction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$570M (6.0x ARR)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Deal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Negotiated acquisition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cash / 40% stock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Closing (est.)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Q2 2026 (subject to regulatory)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financing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$200M Term Loan B @ 7,5%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Morgan Finley &amp; Partners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n41fpxlji3x8" w:id="2"/>
      <w:bookmarkEnd w:id="2"/>
      <w:r w:rsidDel="00000000" w:rsidR="00000000" w:rsidRPr="00000000">
        <w:rPr>
          <w:rtl w:val="0"/>
        </w:rPr>
        <w:t xml:space="preserve">01 Transaction Overview / Descripción del Deal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CloudCore Inc. (NYSE:CLC)</w:t>
      </w:r>
      <w:r w:rsidDel="00000000" w:rsidR="00000000" w:rsidRPr="00000000">
        <w:rPr>
          <w:sz w:val="20"/>
          <w:szCs w:val="20"/>
          <w:rtl w:val="0"/>
        </w:rPr>
        <w:t xml:space="preserve">, a leading provider of cloud based ERP software for mid-market enterprises, proposes to acquire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DataStream Analytics</w:t>
      </w:r>
      <w:r w:rsidDel="00000000" w:rsidR="00000000" w:rsidRPr="00000000">
        <w:rPr>
          <w:sz w:val="20"/>
          <w:szCs w:val="20"/>
          <w:rtl w:val="0"/>
        </w:rPr>
        <w:t xml:space="preserve">, a high growth SaaS analytic platform, for a total enterprise value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$570 million</w:t>
      </w:r>
      <w:r w:rsidDel="00000000" w:rsidR="00000000" w:rsidRPr="00000000">
        <w:rPr>
          <w:sz w:val="20"/>
          <w:szCs w:val="20"/>
          <w:rtl w:val="0"/>
        </w:rPr>
        <w:t xml:space="preserve">. The transaction represents a strategic move to embed advanced analytics natively within CloudCore’s ERP suite, reducing churn, increasing ARPU, and blocking competitive entry.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sz w:val="20"/>
          <w:szCs w:val="20"/>
          <w:shd w:fill="cfe2f3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cfe2f3" w:val="clear"/>
          <w:rtl w:val="0"/>
        </w:rPr>
        <w:t xml:space="preserve">Investment thesis</w:t>
      </w:r>
      <w:r w:rsidDel="00000000" w:rsidR="00000000" w:rsidRPr="00000000">
        <w:rPr>
          <w:sz w:val="20"/>
          <w:szCs w:val="20"/>
          <w:shd w:fill="cfe2f3" w:val="clear"/>
          <w:rtl w:val="0"/>
        </w:rPr>
        <w:t xml:space="preserve">: CloudCore acquires the fastest-growing analytics vendor in its competitive set, converts a feature gap into a product moat, and unlocks $42M of fully-ramped revenue synergies through cross-sell to its customer installed base.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widowControl w:val="0"/>
        <w:spacing w:line="240" w:lineRule="auto"/>
        <w:jc w:val="both"/>
        <w:rPr/>
      </w:pPr>
      <w:bookmarkStart w:colFirst="0" w:colLast="0" w:name="_2kcug0bzvaoz" w:id="3"/>
      <w:bookmarkEnd w:id="3"/>
      <w:r w:rsidDel="00000000" w:rsidR="00000000" w:rsidRPr="00000000">
        <w:rPr>
          <w:rtl w:val="0"/>
        </w:rPr>
        <w:t xml:space="preserve">02 Target Profile - Datastream Analytics / Perfil del target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600"/>
      </w:tblPr>
      <w:tblGrid>
        <w:gridCol w:w="4605"/>
        <w:gridCol w:w="4395"/>
        <w:tblGridChange w:id="0">
          <w:tblGrid>
            <w:gridCol w:w="4605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Competitive Positioning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 (LTM): $95M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YoY ARR growth rate: 38%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Margin: 74%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 Revenue Retention: 118%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 churn: &lt;3% annually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count: ~340 mid-market &amp; enterprise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-Founder-led; PE-backed since 2021 (seeking exit)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-Native integration with top 5 ERP platforms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-Proprietary ML pipeline for predictive dashboards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-SOC 2 Type II, ISO 27001 certified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-No direct ERP-native analytics competitor at this ARR scale.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widowControl w:val="0"/>
        <w:spacing w:line="240" w:lineRule="auto"/>
        <w:jc w:val="both"/>
        <w:rPr/>
      </w:pPr>
      <w:bookmarkStart w:colFirst="0" w:colLast="0" w:name="_nhrs8gi1qwxp" w:id="4"/>
      <w:bookmarkEnd w:id="4"/>
      <w:r w:rsidDel="00000000" w:rsidR="00000000" w:rsidRPr="00000000">
        <w:rPr>
          <w:rtl w:val="0"/>
        </w:rPr>
        <w:t xml:space="preserve">03 Deal Valuation Structure / Valoración y Estructura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2805"/>
        <w:gridCol w:w="3090"/>
        <w:tblGridChange w:id="0">
          <w:tblGrid>
            <w:gridCol w:w="3405"/>
            <w:gridCol w:w="2805"/>
            <w:gridCol w:w="30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 de valoración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Implied EV ($M)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Múltiplo implícito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DCF (WACC 10%, exit 20x EBITDA)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$510 – $590M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5.4x – 6.2x ARR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Trading comparables (SaaS, 30-45% growth)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$495 – $615M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5.2x – 6.5x ARR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Precedent transactions (SaaS M&amp;A 2022-24)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$530 – $665M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5.6x – 7.0x ARR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 price — Project Atlas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82951"/>
              </w:rPr>
            </w:pPr>
            <w:r w:rsidDel="00000000" w:rsidR="00000000" w:rsidRPr="00000000">
              <w:rPr>
                <w:b w:val="1"/>
                <w:bCs w:val="1"/>
                <w:color w:val="182951"/>
                <w:rtl w:val="0"/>
              </w:rPr>
              <w:t xml:space="preserve">$570M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6.0x ARR  |  ~28% premium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jc w:val="both"/>
        <w:rPr>
          <w:b w:val="1"/>
          <w:bCs w:val="1"/>
          <w:color w:val="182951"/>
        </w:rPr>
      </w:pPr>
      <w:r w:rsidDel="00000000" w:rsidR="00000000" w:rsidRPr="00000000">
        <w:rPr>
          <w:b w:val="1"/>
          <w:bCs w:val="1"/>
          <w:color w:val="182951"/>
          <w:rtl w:val="0"/>
        </w:rPr>
        <w:t xml:space="preserve">Sources &amp; Uses</w:t>
      </w:r>
    </w:p>
    <w:tbl>
      <w:tblPr>
        <w:tblStyle w:val="Table4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1575"/>
        <w:gridCol w:w="3060"/>
        <w:gridCol w:w="1755"/>
        <w:tblGridChange w:id="0">
          <w:tblGrid>
            <w:gridCol w:w="2880"/>
            <w:gridCol w:w="1575"/>
            <w:gridCol w:w="3060"/>
            <w:gridCol w:w="1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$M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$M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Acquisition price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$570.0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 Loan B (new)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$200.0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Transaction fees (~2%)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$11.4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consideration (40%)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$228.0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Cash from balance sheet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$153.4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uses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b w:val="1"/>
                <w:bCs w:val="1"/>
                <w:color w:val="182951"/>
              </w:rPr>
            </w:pPr>
            <w:r w:rsidDel="00000000" w:rsidR="00000000" w:rsidRPr="00000000">
              <w:rPr>
                <w:b w:val="1"/>
                <w:bCs w:val="1"/>
                <w:color w:val="182951"/>
                <w:rtl w:val="0"/>
              </w:rPr>
              <w:t xml:space="preserve">$581.4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sources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b w:val="1"/>
                <w:bCs w:val="1"/>
                <w:color w:val="182951"/>
              </w:rPr>
            </w:pPr>
            <w:r w:rsidDel="00000000" w:rsidR="00000000" w:rsidRPr="00000000">
              <w:rPr>
                <w:b w:val="1"/>
                <w:bCs w:val="1"/>
                <w:color w:val="182951"/>
                <w:rtl w:val="0"/>
              </w:rPr>
              <w:t xml:space="preserve">$581.4</w:t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widowControl w:val="0"/>
        <w:spacing w:line="240" w:lineRule="auto"/>
        <w:jc w:val="both"/>
        <w:rPr/>
      </w:pPr>
      <w:bookmarkStart w:colFirst="0" w:colLast="0" w:name="_erz8wxw2o5f5" w:id="5"/>
      <w:bookmarkEnd w:id="5"/>
      <w:r w:rsidDel="00000000" w:rsidR="00000000" w:rsidRPr="00000000">
        <w:rPr>
          <w:rtl w:val="0"/>
        </w:rPr>
        <w:t xml:space="preserve">04 EPS Accretion/Dilution / Impacto en EPS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base case (100% ramp synergies), this deal is dilutive in Year 1 because of  one-time transaction costs and synergies ramp, but becomes accretive by Year 3 once synergies are fully realized. </w:t>
      </w:r>
      <w:r w:rsidDel="00000000" w:rsidR="00000000" w:rsidRPr="00000000">
        <w:rPr>
          <w:i w:val="1"/>
          <w:iCs w:val="1"/>
          <w:rtl w:val="0"/>
        </w:rPr>
        <w:t xml:space="preserve">This pattern is consistent with Saas transactions of similar profiles.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1740"/>
        <w:gridCol w:w="1740"/>
        <w:gridCol w:w="1740"/>
        <w:tblGridChange w:id="0">
          <w:tblGrid>
            <w:gridCol w:w="3840"/>
            <w:gridCol w:w="1740"/>
            <w:gridCol w:w="1740"/>
            <w:gridCol w:w="1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EPS 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Year 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EPS standalone — CloudCore ($)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$0.795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$0.838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$0.882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(+) DataStream earnings contribution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i w:val="1"/>
                <w:iCs w:val="1"/>
                <w:color w:val="2a461a"/>
              </w:rPr>
            </w:pPr>
            <w:r w:rsidDel="00000000" w:rsidR="00000000" w:rsidRPr="00000000">
              <w:rPr>
                <w:i w:val="1"/>
                <w:iCs w:val="1"/>
                <w:color w:val="2a461a"/>
                <w:rtl w:val="0"/>
              </w:rPr>
              <w:t xml:space="preserve">+$0.238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i w:val="1"/>
                <w:iCs w:val="1"/>
                <w:color w:val="2a461a"/>
              </w:rPr>
            </w:pPr>
            <w:r w:rsidDel="00000000" w:rsidR="00000000" w:rsidRPr="00000000">
              <w:rPr>
                <w:i w:val="1"/>
                <w:iCs w:val="1"/>
                <w:color w:val="2a461a"/>
                <w:rtl w:val="0"/>
              </w:rPr>
              <w:t xml:space="preserve">+$0.391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i w:val="1"/>
                <w:iCs w:val="1"/>
                <w:color w:val="2a461a"/>
              </w:rPr>
            </w:pPr>
            <w:r w:rsidDel="00000000" w:rsidR="00000000" w:rsidRPr="00000000">
              <w:rPr>
                <w:i w:val="1"/>
                <w:iCs w:val="1"/>
                <w:color w:val="2a461a"/>
                <w:rtl w:val="0"/>
              </w:rPr>
              <w:t xml:space="preserve">+$0.562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(−) Deal costs after-tax (interest + PPA + fees)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i w:val="1"/>
                <w:iCs w:val="1"/>
                <w:color w:val="b00004"/>
              </w:rPr>
            </w:pPr>
            <w:r w:rsidDel="00000000" w:rsidR="00000000" w:rsidRPr="00000000">
              <w:rPr>
                <w:i w:val="1"/>
                <w:iCs w:val="1"/>
                <w:color w:val="b00004"/>
                <w:rtl w:val="0"/>
              </w:rPr>
              <w:t xml:space="preserve">($0.443)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both"/>
              <w:rPr>
                <w:i w:val="1"/>
                <w:iCs w:val="1"/>
                <w:color w:val="b00004"/>
              </w:rPr>
            </w:pPr>
            <w:r w:rsidDel="00000000" w:rsidR="00000000" w:rsidRPr="00000000">
              <w:rPr>
                <w:i w:val="1"/>
                <w:iCs w:val="1"/>
                <w:color w:val="b00004"/>
                <w:rtl w:val="0"/>
              </w:rPr>
              <w:t xml:space="preserve">($0.334)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i w:val="1"/>
                <w:iCs w:val="1"/>
                <w:color w:val="b00004"/>
              </w:rPr>
            </w:pPr>
            <w:r w:rsidDel="00000000" w:rsidR="00000000" w:rsidRPr="00000000">
              <w:rPr>
                <w:i w:val="1"/>
                <w:iCs w:val="1"/>
                <w:color w:val="b00004"/>
                <w:rtl w:val="0"/>
              </w:rPr>
              <w:t xml:space="preserve">($0.086)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EPS pro forma ($)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$0.590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$0.895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$1.358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Accretion / (Dilution) %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b0000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00004"/>
                <w:rtl w:val="0"/>
              </w:rPr>
              <w:t xml:space="preserve">(25.8%)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2a461a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a461a"/>
                <w:rtl w:val="0"/>
              </w:rPr>
              <w:t xml:space="preserve">+6.8%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cddd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b w:val="1"/>
                <w:bCs w:val="1"/>
                <w:i w:val="1"/>
                <w:iCs w:val="1"/>
                <w:color w:val="2a461a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2a461a"/>
                <w:rtl w:val="0"/>
              </w:rPr>
              <w:t xml:space="preserve">+54.0%*</w:t>
            </w:r>
          </w:p>
        </w:tc>
      </w:tr>
    </w:tbl>
    <w:p w:rsidR="00000000" w:rsidDel="00000000" w:rsidP="00000000" w:rsidRDefault="00000000" w:rsidRPr="00000000" w14:paraId="00000086">
      <w:pPr>
        <w:widowControl w:val="0"/>
        <w:jc w:val="both"/>
        <w:rPr>
          <w:color w:val="474747"/>
          <w:sz w:val="12"/>
          <w:szCs w:val="12"/>
        </w:rPr>
      </w:pPr>
      <w:r w:rsidDel="00000000" w:rsidR="00000000" w:rsidRPr="00000000">
        <w:rPr>
          <w:color w:val="474747"/>
          <w:sz w:val="12"/>
          <w:szCs w:val="12"/>
          <w:rtl w:val="0"/>
        </w:rPr>
        <w:t xml:space="preserve">* Year 3 fully reflects DataStream's 38% compounding ARR growth plus 100% synergy realization. A more conservative case (50% synergies) shows +14.2% in Year 3. See Sensitivity tab in accompanying Excel model.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widowControl w:val="0"/>
        <w:spacing w:line="240" w:lineRule="auto"/>
        <w:jc w:val="both"/>
        <w:rPr/>
      </w:pPr>
      <w:bookmarkStart w:colFirst="0" w:colLast="0" w:name="_5eengfbm47m2" w:id="6"/>
      <w:bookmarkEnd w:id="6"/>
      <w:r w:rsidDel="00000000" w:rsidR="00000000" w:rsidRPr="00000000">
        <w:rPr>
          <w:rtl w:val="0"/>
        </w:rPr>
        <w:t xml:space="preserve">05 Synergies / Sinergias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4290"/>
        <w:gridCol w:w="1365"/>
        <w:gridCol w:w="1365"/>
        <w:gridCol w:w="1755"/>
        <w:tblGridChange w:id="0">
          <w:tblGrid>
            <w:gridCol w:w="345"/>
            <w:gridCol w:w="4290"/>
            <w:gridCol w:w="1365"/>
            <w:gridCol w:w="1365"/>
            <w:gridCol w:w="17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Synergia  /  Fuente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Yr 1 ($M)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Yr 3 ($M)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Cross-sell DataStream to 30% of CloudCore's 2,400 customers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$14.0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$28.0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color w:val="244084"/>
              </w:rPr>
            </w:pPr>
            <w:r w:rsidDel="00000000" w:rsidR="00000000" w:rsidRPr="00000000">
              <w:rPr>
                <w:color w:val="244084"/>
                <w:rtl w:val="0"/>
              </w:rPr>
              <w:t xml:space="preserve">Revenue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24408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Upsell native analytics module within CloudCore ERP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$7.0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$14.0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color w:val="244084"/>
              </w:rPr>
            </w:pPr>
            <w:r w:rsidDel="00000000" w:rsidR="00000000" w:rsidRPr="00000000">
              <w:rPr>
                <w:color w:val="244084"/>
                <w:rtl w:val="0"/>
              </w:rPr>
              <w:t xml:space="preserve">Revenue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47474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Cloud infrastructure consolidation (migrate to CloudCore AWS stack)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$4.0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$8.0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color w:val="474747"/>
              </w:rPr>
            </w:pPr>
            <w:r w:rsidDel="00000000" w:rsidR="00000000" w:rsidRPr="00000000">
              <w:rPr>
                <w:color w:val="474747"/>
                <w:rtl w:val="0"/>
              </w:rPr>
              <w:t xml:space="preserve">Cost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47474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G&amp;A and corporate function overlap elimination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$3.0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$6.0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color w:val="474747"/>
              </w:rPr>
            </w:pPr>
            <w:r w:rsidDel="00000000" w:rsidR="00000000" w:rsidRPr="00000000">
              <w:rPr>
                <w:color w:val="474747"/>
                <w:rtl w:val="0"/>
              </w:rPr>
              <w:t xml:space="preserve">Cost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b00004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Integration costs — one-time (systems, retention, rebranding)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color w:val="b00004"/>
              </w:rPr>
            </w:pPr>
            <w:r w:rsidDel="00000000" w:rsidR="00000000" w:rsidRPr="00000000">
              <w:rPr>
                <w:color w:val="b00004"/>
                <w:rtl w:val="0"/>
              </w:rPr>
              <w:t xml:space="preserve">($22.0)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color w:val="b00004"/>
              </w:rPr>
            </w:pPr>
            <w:r w:rsidDel="00000000" w:rsidR="00000000" w:rsidRPr="00000000">
              <w:rPr>
                <w:color w:val="b00004"/>
                <w:rtl w:val="0"/>
              </w:rPr>
              <w:t xml:space="preserve">One-time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net synergies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2a461a"/>
              </w:rPr>
            </w:pPr>
            <w:r w:rsidDel="00000000" w:rsidR="00000000" w:rsidRPr="00000000">
              <w:rPr>
                <w:b w:val="1"/>
                <w:bCs w:val="1"/>
                <w:color w:val="2a461a"/>
                <w:rtl w:val="0"/>
              </w:rPr>
              <w:t xml:space="preserve">$56.0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b w:val="1"/>
          <w:bCs w:val="1"/>
          <w:sz w:val="30"/>
          <w:szCs w:val="30"/>
        </w:rPr>
      </w:pPr>
      <w:bookmarkStart w:colFirst="0" w:colLast="0" w:name="_4l9nptolwtwb" w:id="7"/>
      <w:bookmarkEnd w:id="7"/>
      <w:r w:rsidDel="00000000" w:rsidR="00000000" w:rsidRPr="00000000">
        <w:rPr>
          <w:rtl w:val="0"/>
        </w:rPr>
        <w:t xml:space="preserve">06 Key Risks &amp; Mitigants / Riesgos Clave y Mitigantes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515"/>
        <w:tblGridChange w:id="0">
          <w:tblGrid>
            <w:gridCol w:w="4530"/>
            <w:gridCol w:w="45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Risks  /  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c1c1c1" w:space="0" w:sz="6" w:val="single"/>
              <w:right w:color="000000" w:space="0" w:sz="6" w:val="single"/>
            </w:tcBorders>
            <w:shd w:fill="18295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Mitigants  /  Mitigantes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Integration execution risk: cultural mismatch between founder-led target and public </w:t>
            </w:r>
            <w:r w:rsidDel="00000000" w:rsidR="00000000" w:rsidRPr="00000000">
              <w:rPr>
                <w:rtl w:val="0"/>
              </w:rPr>
              <w:t xml:space="preserve">acquiror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Revenue synergy shortfall: cross-sell assumes 30% penetration of installed base, which is historically optimistic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Key talent retention: DataStream's engineering team may leave post-close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"/>
              </w:numPr>
              <w:spacing w:after="26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Regulatory review: potential HSR Act filing if deal size triggers thresholds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Retention packages for top 20 DataStream engineers; 2-year cliff vest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Synergy sensitivity table shows deal accretive in Yr3 even at 25% realization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Earnout structure ties $30M of consideration to 18-month ARR targets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"/>
              </w:numPr>
              <w:spacing w:after="26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Outside counsel engaged; no material market overlap identified</w:t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widowControl w:val="0"/>
        <w:spacing w:line="240" w:lineRule="auto"/>
        <w:jc w:val="both"/>
        <w:rPr/>
      </w:pPr>
      <w:bookmarkStart w:colFirst="0" w:colLast="0" w:name="_3ex3gadauvv" w:id="8"/>
      <w:bookmarkEnd w:id="8"/>
      <w:r w:rsidDel="00000000" w:rsidR="00000000" w:rsidRPr="00000000">
        <w:rPr>
          <w:rtl w:val="0"/>
        </w:rPr>
        <w:t xml:space="preserve">07 Recommendations / Recomendaciones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We recommend the board of CloudCore, Inc. </w:t>
      </w:r>
      <w:r w:rsidDel="00000000" w:rsidR="00000000" w:rsidRPr="00000000">
        <w:rPr>
          <w:b w:val="1"/>
          <w:bCs w:val="1"/>
          <w:rtl w:val="0"/>
        </w:rPr>
        <w:t xml:space="preserve">approve the proposed acquisition of DataStream Analytics at $570M.</w:t>
      </w:r>
      <w:r w:rsidDel="00000000" w:rsidR="00000000" w:rsidRPr="00000000">
        <w:rPr>
          <w:rtl w:val="0"/>
        </w:rPr>
        <w:t xml:space="preserve"> The transaction is strategically compelling, financially sound on a 3-year horizon, and competitively urgent. 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Next Steps / Próximos Pasos: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Board approval to execute binding term sheet within 10 business days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 financial advisor to finalize fairness opinion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Launch confirmatory due diligence.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Initiate syndication for Term Loan B with 3 lead arrangers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Negotiate definitive agreement; target sign by end of Q2 2026</w:t>
        <w:br w:type="textWrapping"/>
      </w:r>
    </w:p>
    <w:p w:rsidR="00000000" w:rsidDel="00000000" w:rsidP="00000000" w:rsidRDefault="00000000" w:rsidRPr="00000000" w14:paraId="000000CA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CloudCore Inc. y DataStream Analytics son empresas ficticias. Este memorándum está basado en comparables de mercado SaaS, datos públicos de Bloomberg/FactSet.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>
        <w:sz w:val="12"/>
        <w:szCs w:val="12"/>
      </w:rPr>
    </w:pPr>
    <w:r w:rsidDel="00000000" w:rsidR="00000000" w:rsidRPr="00000000">
      <w:rPr>
        <w:color w:val="474747"/>
        <w:sz w:val="12"/>
        <w:szCs w:val="12"/>
        <w:rtl w:val="0"/>
      </w:rPr>
      <w:t xml:space="preserve">For Discussion Purposes Only  |  CloudCore Inc. — DataStream Analytics  |  Page </w:t>
    </w:r>
    <w:r w:rsidDel="00000000" w:rsidR="00000000" w:rsidRPr="00000000">
      <w:rPr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>
        <w:b w:val="1"/>
        <w:bCs w:val="1"/>
        <w:color w:val="0b5394"/>
        <w:sz w:val="18"/>
        <w:szCs w:val="18"/>
      </w:rPr>
    </w:pPr>
    <w:r w:rsidDel="00000000" w:rsidR="00000000" w:rsidRPr="00000000">
      <w:rPr>
        <w:b w:val="1"/>
        <w:bCs w:val="1"/>
        <w:color w:val="0b5394"/>
        <w:sz w:val="20"/>
        <w:szCs w:val="20"/>
        <w:rtl w:val="0"/>
      </w:rPr>
      <w:t xml:space="preserve">INVESTMENT MEMO  –  PROJECT ATLAS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  <w:jc w:val="both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