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(รวม</w:t>
      </w:r>
      <w:r>
        <w:t xml:space="preserve"> </w:t>
      </w:r>
      <w:r>
        <w:rPr>
          <w:rStyle w:val="VerbatimChar"/>
        </w:rPr>
        <w:t xml:space="preserve">training/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weights/</w:t>
      </w:r>
      <w:r>
        <w:t xml:space="preserve"> </w:t>
      </w:r>
      <w:r>
        <w:t xml:space="preserve">ทั้งหมด)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5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4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Start w:id="63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  ไฟล์อื่น ๆ เช่น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thai.md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 </w:t>
      </w:r>
      <w:r>
        <w:t xml:space="preserve">มิได้นำมาแสดง เนื่องจากมิได้อยู่ในขอบเขตการสอนของคู่มือฉบับนี้</w:t>
      </w:r>
    </w:p>
    <w:bookmarkEnd w:id="63"/>
    <w:bookmarkEnd w:id="64"/>
    <w:bookmarkEnd w:id="65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2026-08-24T14:11:03Z</dcterms:created>
  <dcterms:modified xsi:type="dcterms:W3CDTF">2026-08-24T14:11:03Z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