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Google Sans" w:cs="Google Sans" w:eastAsia="Google Sans" w:hAnsi="Google Sans"/>
          <w:color w:val="4a86e8"/>
        </w:rPr>
      </w:pPr>
      <w:bookmarkStart w:colFirst="0" w:colLast="0" w:name="_r6zy0naegc3w" w:id="0"/>
      <w:bookmarkEnd w:id="0"/>
      <w:r w:rsidDel="00000000" w:rsidR="00000000" w:rsidRPr="00000000">
        <w:rPr>
          <w:rFonts w:ascii="Google Sans" w:cs="Google Sans" w:eastAsia="Google Sans" w:hAnsi="Google Sans"/>
          <w:color w:val="4a86e8"/>
          <w:rtl w:val="0"/>
        </w:rPr>
        <w:t xml:space="preserve">MVP SOLUTION DESIGN DOCUMENT</w:t>
      </w:r>
    </w:p>
    <w:p w:rsidR="00000000" w:rsidDel="00000000" w:rsidP="00000000" w:rsidRDefault="00000000" w:rsidRPr="00000000" w14:paraId="00000002">
      <w:pPr>
        <w:pStyle w:val="Heading1"/>
        <w:rPr>
          <w:rFonts w:ascii="Google Sans" w:cs="Google Sans" w:eastAsia="Google Sans" w:hAnsi="Google Sans"/>
        </w:rPr>
      </w:pPr>
      <w:bookmarkStart w:colFirst="0" w:colLast="0" w:name="_x9jsbqxh41nf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Control</w:t>
      </w:r>
    </w:p>
    <w:p w:rsidR="00000000" w:rsidDel="00000000" w:rsidP="00000000" w:rsidRDefault="00000000" w:rsidRPr="00000000" w14:paraId="00000003">
      <w:pPr>
        <w:pStyle w:val="Heading2"/>
        <w:rPr>
          <w:rFonts w:ascii="Google Sans" w:cs="Google Sans" w:eastAsia="Google Sans" w:hAnsi="Google Sans"/>
        </w:rPr>
      </w:pPr>
      <w:bookmarkStart w:colFirst="0" w:colLast="0" w:name="_5uqb0toldm5g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Metadata</w:t>
      </w:r>
    </w:p>
    <w:tbl>
      <w:tblPr>
        <w:tblStyle w:val="Table1"/>
        <w:tblW w:w="936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Author(s)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[Draft / Under Review / Approved]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Target Audience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[Specify Target Audience]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8gja3g8o3jbu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Revision History</w:t>
      </w:r>
    </w:p>
    <w:tbl>
      <w:tblPr>
        <w:tblStyle w:val="Table2"/>
        <w:tblW w:w="936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Initial outline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>
          <w:rFonts w:ascii="Google Sans" w:cs="Google Sans" w:eastAsia="Google Sans" w:hAnsi="Google Sans"/>
        </w:rPr>
      </w:pPr>
      <w:bookmarkStart w:colFirst="0" w:colLast="0" w:name="_psi5rgjnynvu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 &amp; Scope Boundaries</w:t>
      </w:r>
    </w:p>
    <w:p w:rsidR="00000000" w:rsidDel="00000000" w:rsidP="00000000" w:rsidRDefault="00000000" w:rsidRPr="00000000" w14:paraId="0000001C">
      <w:pPr>
        <w:pStyle w:val="Heading2"/>
        <w:rPr>
          <w:rFonts w:ascii="Google Sans" w:cs="Google Sans" w:eastAsia="Google Sans" w:hAnsi="Google Sans"/>
        </w:rPr>
      </w:pPr>
      <w:bookmarkStart w:colFirst="0" w:colLast="0" w:name="_ylph1s3rxvzb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1.1. Business Overview &amp; Context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the business challenge, pain points in the current workflow, and the high-level business goals.</w:t>
      </w:r>
    </w:p>
    <w:p w:rsidR="00000000" w:rsidDel="00000000" w:rsidP="00000000" w:rsidRDefault="00000000" w:rsidRPr="00000000" w14:paraId="0000001E">
      <w:pPr>
        <w:pStyle w:val="Heading2"/>
        <w:rPr>
          <w:rFonts w:ascii="Google Sans" w:cs="Google Sans" w:eastAsia="Google Sans" w:hAnsi="Google Sans"/>
        </w:rPr>
      </w:pPr>
      <w:bookmarkStart w:colFirst="0" w:colLast="0" w:name="_c361ifgsu3li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1.2. Scope Boundaries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Define explicit system boundaries (in scope &amp; out of scope) to prevent scope creep during delivery.</w:t>
      </w:r>
    </w:p>
    <w:p w:rsidR="00000000" w:rsidDel="00000000" w:rsidP="00000000" w:rsidRDefault="00000000" w:rsidRPr="00000000" w14:paraId="00000020">
      <w:pPr>
        <w:pStyle w:val="Heading2"/>
        <w:rPr>
          <w:rFonts w:ascii="Google Sans" w:cs="Google Sans" w:eastAsia="Google Sans" w:hAnsi="Google Sans"/>
        </w:rPr>
      </w:pPr>
      <w:bookmarkStart w:colFirst="0" w:colLast="0" w:name="_ha69u6as3o93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1.3. Target Architecture Overview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Provide a high-level visual representation and description of the core system components, hosting environments, and orchestration layers.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[Insert High-Level System Architecture Diagrams Here]</w:t>
      </w:r>
    </w:p>
    <w:p w:rsidR="00000000" w:rsidDel="00000000" w:rsidP="00000000" w:rsidRDefault="00000000" w:rsidRPr="00000000" w14:paraId="00000024">
      <w:pPr>
        <w:pStyle w:val="Heading2"/>
        <w:rPr>
          <w:rFonts w:ascii="Google Sans" w:cs="Google Sans" w:eastAsia="Google Sans" w:hAnsi="Google Sans"/>
        </w:rPr>
      </w:pPr>
      <w:bookmarkStart w:colFirst="0" w:colLast="0" w:name="_mquaj7illfov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1.4. Alternatives Considered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Compare chosen technical selections against viable alternatives, detailing trade-offs and rationale.</w:t>
      </w:r>
    </w:p>
    <w:p w:rsidR="00000000" w:rsidDel="00000000" w:rsidP="00000000" w:rsidRDefault="00000000" w:rsidRPr="00000000" w14:paraId="00000026">
      <w:pPr>
        <w:pStyle w:val="Heading1"/>
        <w:rPr>
          <w:rFonts w:ascii="Google Sans" w:cs="Google Sans" w:eastAsia="Google Sans" w:hAnsi="Google Sans"/>
        </w:rPr>
      </w:pPr>
      <w:bookmarkStart w:colFirst="0" w:colLast="0" w:name="_6fqnesj76r46" w:id="9"/>
      <w:bookmarkEnd w:id="9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Production-Ready Future State Design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Provide details on future extensibility and architecture details of the solution as it would evolve in the future and as it will be rolled out into production.</w:t>
      </w:r>
    </w:p>
    <w:p w:rsidR="00000000" w:rsidDel="00000000" w:rsidP="00000000" w:rsidRDefault="00000000" w:rsidRPr="00000000" w14:paraId="00000028">
      <w:pPr>
        <w:pStyle w:val="Heading1"/>
        <w:rPr>
          <w:rFonts w:ascii="Google Sans" w:cs="Google Sans" w:eastAsia="Google Sans" w:hAnsi="Google Sans"/>
        </w:rPr>
      </w:pPr>
      <w:bookmarkStart w:colFirst="0" w:colLast="0" w:name="_v3vbm9aioadp" w:id="10"/>
      <w:bookmarkEnd w:id="1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System Flows, Sequence Diagrams &amp; Agent Design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Sequence diagram outlining end-to-end data flow. Detail out the agent design and any pre-processing before agent invocation or optimizations for business requirements.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[Include Path Sequence Diagrams]</w:t>
      </w:r>
    </w:p>
    <w:p w:rsidR="00000000" w:rsidDel="00000000" w:rsidP="00000000" w:rsidRDefault="00000000" w:rsidRPr="00000000" w14:paraId="0000002C">
      <w:pPr>
        <w:pStyle w:val="Heading1"/>
        <w:rPr>
          <w:rFonts w:ascii="Google Sans" w:cs="Google Sans" w:eastAsia="Google Sans" w:hAnsi="Google Sans"/>
        </w:rPr>
      </w:pPr>
      <w:bookmarkStart w:colFirst="0" w:colLast="0" w:name="_zc1ce2xqxfwl" w:id="11"/>
      <w:bookmarkEnd w:id="1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Security, Governance &amp; Identity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authentication boundaries, network isolation, RBAC / identity management, Sensitive data handling &amp; PII management.</w:t>
      </w:r>
    </w:p>
    <w:p w:rsidR="00000000" w:rsidDel="00000000" w:rsidP="00000000" w:rsidRDefault="00000000" w:rsidRPr="00000000" w14:paraId="0000002E">
      <w:pPr>
        <w:pStyle w:val="Heading1"/>
        <w:rPr>
          <w:rFonts w:ascii="Google Sans" w:cs="Google Sans" w:eastAsia="Google Sans" w:hAnsi="Google Sans"/>
        </w:rPr>
      </w:pPr>
      <w:bookmarkStart w:colFirst="0" w:colLast="0" w:name="_amplxard9irt" w:id="12"/>
      <w:bookmarkEnd w:id="1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Integration Details &amp; Error Handling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Detailed methodology for 3rd party tool integration.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Map potential system component failures to custom fallback logic and user notifications.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Google Sans" w:cs="Google Sans" w:eastAsia="Google Sans" w:hAnsi="Google Sans"/>
        </w:rPr>
      </w:pPr>
      <w:bookmarkStart w:colFirst="0" w:colLast="0" w:name="_ab2ruk69s801" w:id="13"/>
      <w:bookmarkEnd w:id="1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Cost Estimation &amp; FinOps</w:t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 Cost Drivers: Identify primary variables impacting operational costs (e.g., token consumption, hosting tiers, search storage).</w:t>
      </w:r>
    </w:p>
    <w:p w:rsidR="00000000" w:rsidDel="00000000" w:rsidP="00000000" w:rsidRDefault="00000000" w:rsidRPr="00000000" w14:paraId="00000035">
      <w:pPr>
        <w:pStyle w:val="Heading1"/>
        <w:rPr>
          <w:rFonts w:ascii="Google Sans" w:cs="Google Sans" w:eastAsia="Google Sans" w:hAnsi="Google Sans"/>
        </w:rPr>
      </w:pPr>
      <w:bookmarkStart w:colFirst="0" w:colLast="0" w:name="_49l0bi3ekrvi" w:id="14"/>
      <w:bookmarkEnd w:id="1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Deployment &amp; Delivery Plan</w:t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Detail deployment plan / environments (Infrastructure as Code), state management, and configuration versioning.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the phased delivery milestones, dependencies, and deliverables.</w:t>
      </w:r>
    </w:p>
    <w:p w:rsidR="00000000" w:rsidDel="00000000" w:rsidP="00000000" w:rsidRDefault="00000000" w:rsidRPr="00000000" w14:paraId="00000039">
      <w:pPr>
        <w:pStyle w:val="Heading1"/>
        <w:rPr>
          <w:rFonts w:ascii="Google Sans" w:cs="Google Sans" w:eastAsia="Google Sans" w:hAnsi="Google Sans"/>
        </w:rPr>
      </w:pPr>
      <w:bookmarkStart w:colFirst="0" w:colLast="0" w:name="_ep4lysn3uoer" w:id="15"/>
      <w:bookmarkEnd w:id="1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Assumptions, Constraints, Risk &amp; Mitigations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List all critical technical and operational assumptions regarding the target environment.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Identify key risks and define concrete mitigation strategies.</w:t>
      </w:r>
    </w:p>
    <w:p w:rsidR="00000000" w:rsidDel="00000000" w:rsidP="00000000" w:rsidRDefault="00000000" w:rsidRPr="00000000" w14:paraId="0000003D">
      <w:pPr>
        <w:pStyle w:val="Heading1"/>
        <w:rPr>
          <w:rFonts w:ascii="Google Sans" w:cs="Google Sans" w:eastAsia="Google Sans" w:hAnsi="Google Sans"/>
        </w:rPr>
      </w:pPr>
      <w:bookmarkStart w:colFirst="0" w:colLast="0" w:name="_3fyrn57u43" w:id="16"/>
      <w:bookmarkEnd w:id="1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Quality Evaluation &amp; UAT Framework</w:t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Define quantitative performance metrics, evaluation dataset curation, and acceptance thresholds.</w:t>
      </w:r>
    </w:p>
    <w:p w:rsidR="00000000" w:rsidDel="00000000" w:rsidP="00000000" w:rsidRDefault="00000000" w:rsidRPr="00000000" w14:paraId="0000003F">
      <w:pPr>
        <w:pStyle w:val="Heading1"/>
        <w:rPr>
          <w:rFonts w:ascii="Google Sans" w:cs="Google Sans" w:eastAsia="Google Sans" w:hAnsi="Google Sans"/>
        </w:rPr>
      </w:pPr>
      <w:bookmarkStart w:colFirst="0" w:colLast="0" w:name="_pmlygcslzsnc" w:id="17"/>
      <w:bookmarkEnd w:id="1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10. Assumptions / Open Questions</w:t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the assumptions made, track outstanding design decisions, assigning ownership and deadlines.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1a73e8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1a73e8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1"/>
      <w:iCs w:val="1"/>
      <w:smallCaps w:val="0"/>
      <w:strike w:val="0"/>
      <w:color w:val="1a73e8"/>
      <w:sz w:val="22"/>
      <w:szCs w:val="22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73e8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73e8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73e8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f172a"/>
      <w:sz w:val="48"/>
      <w:szCs w:val="48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475569"/>
      <w:sz w:val="28"/>
      <w:szCs w:val="28"/>
      <w:u w:val="none"/>
      <w:vertAlign w:val="baseline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2" Type="http://schemas.openxmlformats.org/officeDocument/2006/relationships/font" Target="fonts/GoogleSans-boldItalic.ttf"/><Relationship Id="rId9" Type="http://schemas.openxmlformats.org/officeDocument/2006/relationships/font" Target="fonts/Google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