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left"/>
      </w:pPr>
      <w:r>
        <w:rPr>
          <w:rFonts w:ascii="Calibri" w:cs="Calibri" w:eastAsia="Calibri" w:hAnsi="Calibri"/>
          <w:b/>
          <w:bCs/>
          <w:color w:val="B4690E"/>
          <w:spacing w:val="40"/>
          <w:sz w:val="22"/>
          <w:szCs w:val="22"/>
        </w:rPr>
        <w:t xml:space="preserve">WEALTHWIZARD</w:t>
      </w:r>
    </w:p>
    <w:p>
      <w:pPr>
        <w:spacing w:before="200"/>
      </w:pPr>
      <w:r>
        <w:rPr>
          <w:rFonts w:ascii="Cambria" w:cs="Cambria" w:eastAsia="Cambria" w:hAnsi="Cambria"/>
          <w:b/>
          <w:bCs/>
          <w:color w:val="14142B"/>
          <w:sz w:val="56"/>
          <w:szCs w:val="56"/>
        </w:rPr>
        <w:t xml:space="preserve">Database &amp; Data Pipeline</w:t>
      </w:r>
    </w:p>
    <w:p>
      <w:pPr>
        <w:spacing w:after="100" w:before="100"/>
      </w:pPr>
      <w:r>
        <w:rPr>
          <w:rFonts w:ascii="Cambria" w:cs="Cambria" w:eastAsia="Cambria" w:hAnsi="Cambria"/>
          <w:color w:val="5B5570"/>
          <w:sz w:val="30"/>
          <w:szCs w:val="30"/>
        </w:rPr>
        <w:t xml:space="preserve">Technical Documentation</w:t>
      </w:r>
    </w:p>
    <w:p>
      <w:pPr>
        <w:pBdr>
          <w:bottom w:val="single" w:color="B4690E" w:sz="10" w:space="1"/>
        </w:pBdr>
        <w:spacing w:after="300" w:before="300"/>
      </w:pPr>
      <w:r>
        <w:rPr>
          <w:sz w:val="2"/>
          <w:szCs w:val="2"/>
        </w:rPr>
        <w:t xml:space="preserve">  </w:t>
      </w:r>
    </w:p>
    <w:p>
      <w:pPr>
        <w:spacing w:before="1800"/>
      </w:pPr>
      <w:r>
        <w:rPr>
          <w:rFonts w:ascii="Calibri" w:cs="Calibri" w:eastAsia="Calibri" w:hAnsi="Calibri"/>
          <w:b/>
          <w:bCs/>
          <w:color w:val="14142B"/>
          <w:sz w:val="24"/>
          <w:szCs w:val="24"/>
        </w:rPr>
        <w:t xml:space="preserve">Snowflake Medallion Architecture</w:t>
      </w:r>
    </w:p>
    <w:p>
      <w:pPr>
        <w:spacing w:after="60"/>
      </w:pPr>
      <w:r>
        <w:rPr>
          <w:rFonts w:ascii="Calibri" w:cs="Calibri" w:eastAsia="Calibri" w:hAnsi="Calibri"/>
          <w:color w:val="5B5570"/>
          <w:sz w:val="21"/>
          <w:szCs w:val="21"/>
        </w:rPr>
        <w:t xml:space="preserve">Raw → Stage → Mart → Analytics → Streamlit Dashboard</w:t>
      </w:r>
    </w:p>
    <w:p>
      <w:pPr>
        <w:spacing w:before="1600"/>
      </w:pPr>
      <w:r>
        <w:rPr>
          <w:rFonts w:ascii="Calibri" w:cs="Calibri" w:eastAsia="Calibri" w:hAnsi="Calibri"/>
          <w:color w:val="5B5570"/>
          <w:sz w:val="19"/>
          <w:szCs w:val="19"/>
        </w:rPr>
        <w:t xml:space="preserve">Prepared by Team WealthWizard</w:t>
      </w:r>
    </w:p>
    <w:p>
      <w:r>
        <w:rPr>
          <w:rFonts w:ascii="Calibri" w:cs="Calibri" w:eastAsia="Calibri" w:hAnsi="Calibri"/>
          <w:color w:val="5B5570"/>
          <w:sz w:val="19"/>
          <w:szCs w:val="19"/>
        </w:rPr>
        <w:t xml:space="preserve">Capstone Project · 2026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B4690E" w:sz="6" w:space="6"/>
        </w:pBdr>
        <w:spacing w:after="200" w:before="480"/>
      </w:pPr>
      <w:r>
        <w:rPr>
          <w:rFonts w:ascii="Cambria" w:cs="Cambria" w:eastAsia="Cambria" w:hAnsi="Cambria"/>
          <w:b/>
          <w:bCs/>
          <w:color w:val="14142B"/>
          <w:sz w:val="30"/>
          <w:szCs w:val="30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B4690E" w:sz="6" w:space="6"/>
        </w:pBdr>
        <w:spacing w:after="200" w:before="480"/>
      </w:pPr>
      <w:r>
        <w:rPr>
          <w:rFonts w:ascii="Cambria" w:cs="Cambria" w:eastAsia="Cambria" w:hAnsi="Cambria"/>
          <w:b/>
          <w:bCs/>
          <w:color w:val="14142B"/>
          <w:sz w:val="30"/>
          <w:szCs w:val="30"/>
        </w:rPr>
        <w:t xml:space="preserve">1.  Executive Summary</w:t>
      </w:r>
    </w:p>
    <w:p>
      <w:pPr>
        <w:spacing w:after="160" w:line="300"/>
      </w:pPr>
      <w:r>
        <w:rPr>
          <w:rFonts w:ascii="Calibri" w:cs="Calibri" w:eastAsia="Calibri" w:hAnsi="Calibri"/>
          <w:color w:val="24303D"/>
          <w:sz w:val="22"/>
          <w:szCs w:val="22"/>
        </w:rPr>
        <w:t xml:space="preserve">WealthWizard is a personal finance platform built on a Snowflake-native data pipeline. Raw transaction, budget, category, and insight data lands from Amazon S3 through Snowpipe, moves through an automated medallion architecture, and surfaces through a native Streamlit dashboard that queries the mart and analytics schemas directly — no separate backend service sits in between. This document describes the database side of that system in full: ingestion, validation, dimensional modeling, analytics, business-rule automation, orchestration, and governance, followed by an overview of the application layer members actually use.</w:t>
      </w:r>
    </w:p>
    <w:tbl>
      <w:tblPr>
        <w:tblW w:type="pct" w:w="100%"/>
        <w:tblBorders>
          <w:top w:val="single" w:color="B4690E" w:sz="4"/>
          <w:left w:val="single" w:color="B4690E" w:sz="4"/>
          <w:bottom w:val="single" w:color="B4690E" w:sz="4"/>
          <w:right w:val="single" w:color="B4690E" w:sz="4"/>
          <w:insideH w:val="none"/>
          <w:insideV w:val="none"/>
        </w:tblBorders>
      </w:tblPr>
      <w:tblGrid>
        <w:gridCol w:w="100"/>
      </w:tblGrid>
      <w:tr>
        <w:tc>
          <w:tcPr>
            <w:shd w:fill="FBEFDD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4690E"/>
                <w:spacing w:val="20"/>
                <w:sz w:val="18"/>
                <w:szCs w:val="18"/>
              </w:rPr>
              <w:t xml:space="preserve">AT A GLANCE</w:t>
            </w:r>
          </w:p>
          <w:p>
            <w:r>
              <w:rPr>
                <w:rFonts w:ascii="Calibri" w:cs="Calibri" w:eastAsia="Calibri" w:hAnsi="Calibri"/>
                <w:color w:val="3A3220"/>
                <w:sz w:val="21"/>
                <w:szCs w:val="21"/>
              </w:rPr>
              <w:t xml:space="preserve">Four layered Snowflake schemas · 7 Snowpipe channels · 78,155 clean transactions · 23,956 generated insights · one governing role with least-privilege access across the entire pipeline · one Streamlit dashboard with a Gemini-powered assistant.</w:t>
            </w:r>
          </w:p>
        </w:tc>
      </w:tr>
    </w:tbl>
    <w:p>
      <w:pPr>
        <w:spacing w:after="200"/>
      </w:pPr>
    </w:p>
    <w:p>
      <w:pPr>
        <w:pStyle w:val="Heading2"/>
        <w:spacing w:after="140" w:before="320"/>
      </w:pPr>
      <w:r>
        <w:rPr>
          <w:rFonts w:ascii="Cambria" w:cs="Cambria" w:eastAsia="Cambria" w:hAnsi="Cambria"/>
          <w:b/>
          <w:bCs/>
          <w:color w:val="14142B"/>
          <w:sz w:val="24"/>
          <w:szCs w:val="24"/>
        </w:rPr>
        <w:t xml:space="preserve">1.1  Why a medallion architecture</w:t>
      </w:r>
    </w:p>
    <w:p>
      <w:pPr>
        <w:spacing w:after="160" w:line="300"/>
      </w:pPr>
      <w:r>
        <w:rPr>
          <w:rFonts w:ascii="Calibri" w:cs="Calibri" w:eastAsia="Calibri" w:hAnsi="Calibri"/>
          <w:color w:val="24303D"/>
          <w:sz w:val="22"/>
          <w:szCs w:val="22"/>
        </w:rPr>
        <w:t xml:space="preserve">Financial data arrives messy — malformed dates, negative amounts that shouldn't exist, orphaned category references. Rather than validate at the point of ingestion (which risks silently dropping real data), WealthWizard follows the medallion pattern: land everything as-is, validate deliberately in a dedicated stage, model for analytics separately again. Each layer has one job, and each transition is traceable.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800"/>
        <w:gridCol w:w="7560"/>
      </w:tblGrid>
      <w:tr>
        <w:tc>
          <w:tcPr>
            <w:tcW w:type="dxa" w:w="1800"/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4690E"/>
                <w:sz w:val="20"/>
                <w:szCs w:val="20"/>
              </w:rPr>
              <w:t xml:space="preserve">RAW</w:t>
            </w:r>
          </w:p>
        </w:tc>
        <w:tc>
          <w:tcPr>
            <w:tcW w:type="dxa" w:w="7560"/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24303D"/>
                <w:sz w:val="20"/>
                <w:szCs w:val="20"/>
              </w:rPr>
              <w:t xml:space="preserve">Faithful, unvalidated copy of every source file. No constraints — nothing is ever silently rejected here.</w:t>
            </w:r>
          </w:p>
        </w:tc>
      </w:tr>
      <w:tr>
        <w:tc>
          <w:tcPr>
            <w:tcW w:type="dxa" w:w="1800"/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4690E"/>
                <w:sz w:val="20"/>
                <w:szCs w:val="20"/>
              </w:rPr>
              <w:t xml:space="preserve">STAGE</w:t>
            </w:r>
          </w:p>
        </w:tc>
        <w:tc>
          <w:tcPr>
            <w:tcW w:type="dxa" w:w="7560"/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24303D"/>
                <w:sz w:val="20"/>
                <w:szCs w:val="20"/>
              </w:rPr>
              <w:t xml:space="preserve">Every row validated: type-checked, deduplicated, business rules enforced. Rejects are logged, not dropped.</w:t>
            </w:r>
          </w:p>
        </w:tc>
      </w:tr>
      <w:tr>
        <w:tc>
          <w:tcPr>
            <w:tcW w:type="dxa" w:w="1800"/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4690E"/>
                <w:sz w:val="20"/>
                <w:szCs w:val="20"/>
              </w:rPr>
              <w:t xml:space="preserve">MART</w:t>
            </w:r>
          </w:p>
        </w:tc>
        <w:tc>
          <w:tcPr>
            <w:tcW w:type="dxa" w:w="7560"/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24303D"/>
                <w:sz w:val="20"/>
                <w:szCs w:val="20"/>
              </w:rPr>
              <w:t xml:space="preserve">Dimensional star schema — the layer the dashboard actually queries.</w:t>
            </w:r>
          </w:p>
        </w:tc>
      </w:tr>
      <w:tr>
        <w:tc>
          <w:tcPr>
            <w:tcW w:type="dxa" w:w="1800"/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4690E"/>
                <w:sz w:val="20"/>
                <w:szCs w:val="20"/>
              </w:rPr>
              <w:t xml:space="preserve">ANALYTICS</w:t>
            </w:r>
          </w:p>
        </w:tc>
        <w:tc>
          <w:tcPr>
            <w:tcW w:type="dxa" w:w="7560"/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24303D"/>
                <w:sz w:val="20"/>
                <w:szCs w:val="20"/>
              </w:rPr>
              <w:t xml:space="preserve">Reporting views and AI-generated insights, built on top of the mart.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4690E" w:sz="6" w:space="6"/>
        </w:pBdr>
        <w:spacing w:after="200" w:before="480"/>
      </w:pPr>
      <w:r>
        <w:rPr>
          <w:rFonts w:ascii="Cambria" w:cs="Cambria" w:eastAsia="Cambria" w:hAnsi="Cambria"/>
          <w:b/>
          <w:bCs/>
          <w:color w:val="14142B"/>
          <w:sz w:val="30"/>
          <w:szCs w:val="30"/>
        </w:rPr>
        <w:t xml:space="preserve">2.  Architecture Overview</w:t>
      </w:r>
    </w:p>
    <w:p>
      <w:pPr>
        <w:spacing w:after="160" w:line="300"/>
      </w:pPr>
      <w:r>
        <w:rPr>
          <w:rFonts w:ascii="Calibri" w:cs="Calibri" w:eastAsia="Calibri" w:hAnsi="Calibri"/>
          <w:color w:val="24303D"/>
          <w:sz w:val="22"/>
          <w:szCs w:val="22"/>
        </w:rPr>
        <w:t xml:space="preserve">The pipeline is fully automated from file arrival to dashboard-ready data. The sequence below shows the full path a single transaction takes.</w:t>
      </w:r>
    </w:p>
    <w:p>
      <w:pPr>
        <w:pStyle w:val="Heading2"/>
        <w:spacing w:after="140" w:before="320"/>
      </w:pPr>
      <w:r>
        <w:rPr>
          <w:rFonts w:ascii="Cambria" w:cs="Cambria" w:eastAsia="Cambria" w:hAnsi="Cambria"/>
          <w:b/>
          <w:bCs/>
          <w:color w:val="14142B"/>
          <w:sz w:val="24"/>
          <w:szCs w:val="24"/>
        </w:rPr>
        <w:t xml:space="preserve">2.1  End-to-end flow</w:t>
      </w:r>
    </w:p>
    <w:p>
      <w:pPr>
        <w:spacing w:after="180" w:line="300"/>
      </w:pPr>
      <w:r>
        <w:rPr>
          <w:rFonts w:ascii="Calibri" w:cs="Calibri" w:eastAsia="Calibri" w:hAnsi="Calibri"/>
          <w:b/>
          <w:bCs/>
          <w:color w:val="B4690E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14142B"/>
          <w:sz w:val="21"/>
          <w:szCs w:val="21"/>
        </w:rPr>
        <w:t xml:space="preserve">S3 + Snowpipe — </w:t>
      </w:r>
      <w:r>
        <w:rPr>
          <w:rFonts w:ascii="Calibri" w:cs="Calibri" w:eastAsia="Calibri" w:hAnsi="Calibri"/>
          <w:color w:val="24303D"/>
          <w:sz w:val="21"/>
          <w:szCs w:val="21"/>
        </w:rPr>
        <w:t xml:space="preserve">A file lands in an entity-first, date-partitioned S3 prefix. An SQS event notification tells the matching Snowpipe channel to load it — no manual COPY INTO required.</w:t>
      </w:r>
    </w:p>
    <w:p>
      <w:pPr>
        <w:spacing w:after="180" w:line="300"/>
      </w:pPr>
      <w:r>
        <w:rPr>
          <w:rFonts w:ascii="Calibri" w:cs="Calibri" w:eastAsia="Calibri" w:hAnsi="Calibri"/>
          <w:b/>
          <w:bCs/>
          <w:color w:val="B4690E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14142B"/>
          <w:sz w:val="21"/>
          <w:szCs w:val="21"/>
        </w:rPr>
        <w:t xml:space="preserve">RAW layer — </w:t>
      </w:r>
      <w:r>
        <w:rPr>
          <w:rFonts w:ascii="Calibri" w:cs="Calibri" w:eastAsia="Calibri" w:hAnsi="Calibri"/>
          <w:color w:val="24303D"/>
          <w:sz w:val="21"/>
          <w:szCs w:val="21"/>
        </w:rPr>
        <w:t xml:space="preserve">The file lands in an all-text, all-nullable table with a generated surrogate row key. Nothing is rejected at this stage by design.</w:t>
      </w:r>
    </w:p>
    <w:p>
      <w:pPr>
        <w:spacing w:after="180" w:line="300"/>
      </w:pPr>
      <w:r>
        <w:rPr>
          <w:rFonts w:ascii="Calibri" w:cs="Calibri" w:eastAsia="Calibri" w:hAnsi="Calibri"/>
          <w:b/>
          <w:bCs/>
          <w:color w:val="B4690E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14142B"/>
          <w:sz w:val="21"/>
          <w:szCs w:val="21"/>
        </w:rPr>
        <w:t xml:space="preserve">Streams + Tasks — </w:t>
      </w:r>
      <w:r>
        <w:rPr>
          <w:rFonts w:ascii="Calibri" w:cs="Calibri" w:eastAsia="Calibri" w:hAnsi="Calibri"/>
          <w:color w:val="24303D"/>
          <w:sz w:val="21"/>
          <w:szCs w:val="21"/>
        </w:rPr>
        <w:t xml:space="preserve">A Stream on each raw table tracks new rows since the last run. A scheduled Task checks the stream and, if it has data, calls the matching cleaning procedure.</w:t>
      </w:r>
    </w:p>
    <w:p>
      <w:pPr>
        <w:spacing w:after="180" w:line="300"/>
      </w:pPr>
      <w:r>
        <w:rPr>
          <w:rFonts w:ascii="Calibri" w:cs="Calibri" w:eastAsia="Calibri" w:hAnsi="Calibri"/>
          <w:b/>
          <w:bCs/>
          <w:color w:val="B4690E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color w:val="14142B"/>
          <w:sz w:val="21"/>
          <w:szCs w:val="21"/>
        </w:rPr>
        <w:t xml:space="preserve">STAGE layer — </w:t>
      </w:r>
      <w:r>
        <w:rPr>
          <w:rFonts w:ascii="Calibri" w:cs="Calibri" w:eastAsia="Calibri" w:hAnsi="Calibri"/>
          <w:color w:val="24303D"/>
          <w:sz w:val="21"/>
          <w:szCs w:val="21"/>
        </w:rPr>
        <w:t xml:space="preserve">Type conversion, business-rule validation, deduplication, and foreign-key checks run. Good rows land in the STG_* table; everything else lands in a matching *_REJECTS table with a specific reason.</w:t>
      </w:r>
    </w:p>
    <w:p>
      <w:pPr>
        <w:spacing w:after="180" w:line="300"/>
      </w:pPr>
      <w:r>
        <w:rPr>
          <w:rFonts w:ascii="Calibri" w:cs="Calibri" w:eastAsia="Calibri" w:hAnsi="Calibri"/>
          <w:b/>
          <w:bCs/>
          <w:color w:val="B4690E"/>
          <w:sz w:val="21"/>
          <w:szCs w:val="21"/>
        </w:rPr>
        <w:t xml:space="preserve">5.  </w:t>
      </w:r>
      <w:r>
        <w:rPr>
          <w:rFonts w:ascii="Calibri" w:cs="Calibri" w:eastAsia="Calibri" w:hAnsi="Calibri"/>
          <w:b/>
          <w:bCs/>
          <w:color w:val="14142B"/>
          <w:sz w:val="21"/>
          <w:szCs w:val="21"/>
        </w:rPr>
        <w:t xml:space="preserve">MART layer — </w:t>
      </w:r>
      <w:r>
        <w:rPr>
          <w:rFonts w:ascii="Calibri" w:cs="Calibri" w:eastAsia="Calibri" w:hAnsi="Calibri"/>
          <w:color w:val="24303D"/>
          <w:sz w:val="21"/>
          <w:szCs w:val="21"/>
        </w:rPr>
        <w:t xml:space="preserve">A second Task chain loads the star schema — dimensions first, then facts — using MERGE so re-running never creates duplicates.</w:t>
      </w:r>
    </w:p>
    <w:p>
      <w:pPr>
        <w:spacing w:after="180" w:line="300"/>
      </w:pPr>
      <w:r>
        <w:rPr>
          <w:rFonts w:ascii="Calibri" w:cs="Calibri" w:eastAsia="Calibri" w:hAnsi="Calibri"/>
          <w:b/>
          <w:bCs/>
          <w:color w:val="B4690E"/>
          <w:sz w:val="21"/>
          <w:szCs w:val="21"/>
        </w:rPr>
        <w:t xml:space="preserve">6.  </w:t>
      </w:r>
      <w:r>
        <w:rPr>
          <w:rFonts w:ascii="Calibri" w:cs="Calibri" w:eastAsia="Calibri" w:hAnsi="Calibri"/>
          <w:b/>
          <w:bCs/>
          <w:color w:val="14142B"/>
          <w:sz w:val="21"/>
          <w:szCs w:val="21"/>
        </w:rPr>
        <w:t xml:space="preserve">ANALYTICS layer — </w:t>
      </w:r>
      <w:r>
        <w:rPr>
          <w:rFonts w:ascii="Calibri" w:cs="Calibri" w:eastAsia="Calibri" w:hAnsi="Calibri"/>
          <w:color w:val="24303D"/>
          <w:sz w:val="21"/>
          <w:szCs w:val="21"/>
        </w:rPr>
        <w:t xml:space="preserve">Views compute monthly summaries, category rankings, spending anomalies, and savings opportunities directly from the mart, always reflecting current data with no refresh step.</w:t>
      </w:r>
    </w:p>
    <w:p>
      <w:pPr>
        <w:spacing w:after="180" w:line="300"/>
      </w:pPr>
      <w:r>
        <w:rPr>
          <w:rFonts w:ascii="Calibri" w:cs="Calibri" w:eastAsia="Calibri" w:hAnsi="Calibri"/>
          <w:b/>
          <w:bCs/>
          <w:color w:val="B4690E"/>
          <w:sz w:val="21"/>
          <w:szCs w:val="21"/>
        </w:rPr>
        <w:t xml:space="preserve">7.  </w:t>
      </w:r>
      <w:r>
        <w:rPr>
          <w:rFonts w:ascii="Calibri" w:cs="Calibri" w:eastAsia="Calibri" w:hAnsi="Calibri"/>
          <w:b/>
          <w:bCs/>
          <w:color w:val="14142B"/>
          <w:sz w:val="21"/>
          <w:szCs w:val="21"/>
        </w:rPr>
        <w:t xml:space="preserve">Streamlit Dashboard — </w:t>
      </w:r>
      <w:r>
        <w:rPr>
          <w:rFonts w:ascii="Calibri" w:cs="Calibri" w:eastAsia="Calibri" w:hAnsi="Calibri"/>
          <w:color w:val="24303D"/>
          <w:sz w:val="21"/>
          <w:szCs w:val="21"/>
        </w:rPr>
        <w:t xml:space="preserve">A native Streamlit application signs a member in by id, queries the MART and ANALYTICS schemas directly through the Snowflake Python connector, and renders every page — Overview, Transactions, Categories, Budgets, and Insights — plus a Gemini-powered Ask assistant, with no separate API tier in between.</w:t>
      </w:r>
    </w:p>
    <w:p>
      <w:pPr>
        <w:spacing w:after="100"/>
      </w:pPr>
    </w:p>
    <w:p>
      <w:pPr>
        <w:pStyle w:val="Heading2"/>
        <w:spacing w:after="140" w:before="320"/>
      </w:pPr>
      <w:r>
        <w:rPr>
          <w:rFonts w:ascii="Cambria" w:cs="Cambria" w:eastAsia="Cambria" w:hAnsi="Cambria"/>
          <w:b/>
          <w:bCs/>
          <w:color w:val="14142B"/>
          <w:sz w:val="24"/>
          <w:szCs w:val="24"/>
        </w:rPr>
        <w:t xml:space="preserve">2.2  Schema inventory</w:t>
      </w:r>
    </w:p>
    <w:tbl>
      <w:tblPr>
        <w:tblW w:type="dxa" w:w="9360"/>
        <w:tblBorders>
          <w:top w:val="single" w:color="DED6EC" w:sz="2"/>
          <w:left w:val="single" w:color="DED6EC" w:sz="2"/>
          <w:bottom w:val="single" w:color="DED6EC" w:sz="2"/>
          <w:right w:val="single" w:color="DED6EC" w:sz="2"/>
          <w:insideH w:val="single" w:color="DED6EC" w:sz="2"/>
          <w:insideV w:val="single" w:color="DED6EC" w:sz="2"/>
        </w:tblBorders>
      </w:tblPr>
      <w:tblGrid>
        <w:gridCol w:w="3200"/>
        <w:gridCol w:w="4560"/>
        <w:gridCol w:w="1600"/>
      </w:tblGrid>
      <w:tr>
        <w:trPr>
          <w:tblHeader/>
        </w:trPr>
        <w:tc>
          <w:tcPr>
            <w:tcW w:type="dxa" w:w="320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Schema</w:t>
            </w:r>
          </w:p>
        </w:tc>
        <w:tc>
          <w:tcPr>
            <w:tcW w:type="dxa" w:w="456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tcW w:type="dxa" w:w="160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Owned by</w:t>
            </w:r>
          </w:p>
        </w:tc>
      </w:tr>
      <w:tr>
        <w:tc>
          <w:tcPr>
            <w:tcW w:type="dxa" w:w="3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RAW_WEALTH_WIZARD</w:t>
            </w:r>
          </w:p>
        </w:tc>
        <w:tc>
          <w:tcPr>
            <w:tcW w:type="dxa" w:w="45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Landing zone for Snowpipe — unvalidated</w:t>
            </w:r>
          </w:p>
        </w:tc>
        <w:tc>
          <w:tcPr>
            <w:tcW w:type="dxa" w:w="1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WEALTHWIZARD_ETL</w:t>
            </w:r>
          </w:p>
        </w:tc>
      </w:tr>
      <w:tr>
        <w:tc>
          <w:tcPr>
            <w:tcW w:type="dxa" w:w="32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STAGE_WEALTH_WIZARD</w:t>
            </w:r>
          </w:p>
        </w:tc>
        <w:tc>
          <w:tcPr>
            <w:tcW w:type="dxa" w:w="456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Validated data + reject logs</w:t>
            </w:r>
          </w:p>
        </w:tc>
        <w:tc>
          <w:tcPr>
            <w:tcW w:type="dxa" w:w="16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WEALTHWIZARD_ETL</w:t>
            </w:r>
          </w:p>
        </w:tc>
      </w:tr>
      <w:tr>
        <w:tc>
          <w:tcPr>
            <w:tcW w:type="dxa" w:w="3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MART_WEALTH_WIZARD</w:t>
            </w:r>
          </w:p>
        </w:tc>
        <w:tc>
          <w:tcPr>
            <w:tcW w:type="dxa" w:w="45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Star schema (DIM_* / FACT_*)</w:t>
            </w:r>
          </w:p>
        </w:tc>
        <w:tc>
          <w:tcPr>
            <w:tcW w:type="dxa" w:w="1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WEALTHWIZARD_ETL</w:t>
            </w:r>
          </w:p>
        </w:tc>
      </w:tr>
      <w:tr>
        <w:tc>
          <w:tcPr>
            <w:tcW w:type="dxa" w:w="32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ANALYTICS_WEALTH_WIZARD</w:t>
            </w:r>
          </w:p>
        </w:tc>
        <w:tc>
          <w:tcPr>
            <w:tcW w:type="dxa" w:w="456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Reporting views, AI grounding queries</w:t>
            </w:r>
          </w:p>
        </w:tc>
        <w:tc>
          <w:tcPr>
            <w:tcW w:type="dxa" w:w="16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WEALTHWIZARD_ETL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4690E" w:sz="6" w:space="6"/>
        </w:pBdr>
        <w:spacing w:after="200" w:before="480"/>
      </w:pPr>
      <w:r>
        <w:rPr>
          <w:rFonts w:ascii="Cambria" w:cs="Cambria" w:eastAsia="Cambria" w:hAnsi="Cambria"/>
          <w:b/>
          <w:bCs/>
          <w:color w:val="14142B"/>
          <w:sz w:val="30"/>
          <w:szCs w:val="30"/>
        </w:rPr>
        <w:t xml:space="preserve">3.  Data Ingestion</w:t>
      </w:r>
    </w:p>
    <w:p>
      <w:pPr>
        <w:pStyle w:val="Heading2"/>
        <w:spacing w:after="140" w:before="320"/>
      </w:pPr>
      <w:r>
        <w:rPr>
          <w:rFonts w:ascii="Cambria" w:cs="Cambria" w:eastAsia="Cambria" w:hAnsi="Cambria"/>
          <w:b/>
          <w:bCs/>
          <w:color w:val="14142B"/>
          <w:sz w:val="24"/>
          <w:szCs w:val="24"/>
        </w:rPr>
        <w:t xml:space="preserve">3.1  Source formats</w:t>
      </w:r>
    </w:p>
    <w:p>
      <w:pPr>
        <w:spacing w:after="160" w:line="300"/>
      </w:pPr>
      <w:r>
        <w:rPr>
          <w:rFonts w:ascii="Calibri" w:cs="Calibri" w:eastAsia="Calibri" w:hAnsi="Calibri"/>
          <w:color w:val="24303D"/>
          <w:sz w:val="22"/>
          <w:szCs w:val="22"/>
        </w:rPr>
        <w:t xml:space="preserve">Raw data arrives in three formats, reflecting how a real personal-finance system would realistically receive data from different sources: a scheduled export, an API dump, and a legacy flat-file feed.</w:t>
      </w:r>
    </w:p>
    <w:tbl>
      <w:tblPr>
        <w:tblW w:type="dxa" w:w="9360"/>
        <w:tblBorders>
          <w:top w:val="single" w:color="DED6EC" w:sz="2"/>
          <w:left w:val="single" w:color="DED6EC" w:sz="2"/>
          <w:bottom w:val="single" w:color="DED6EC" w:sz="2"/>
          <w:right w:val="single" w:color="DED6EC" w:sz="2"/>
          <w:insideH w:val="single" w:color="DED6EC" w:sz="2"/>
          <w:insideV w:val="single" w:color="DED6EC" w:sz="2"/>
        </w:tblBorders>
      </w:tblPr>
      <w:tblGrid>
        <w:gridCol w:w="2400"/>
        <w:gridCol w:w="3600"/>
        <w:gridCol w:w="3360"/>
      </w:tblGrid>
      <w:tr>
        <w:trPr>
          <w:tblHeader/>
        </w:trPr>
        <w:tc>
          <w:tcPr>
            <w:tcW w:type="dxa" w:w="240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Format</w:t>
            </w:r>
          </w:p>
        </w:tc>
        <w:tc>
          <w:tcPr>
            <w:tcW w:type="dxa" w:w="360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Used for</w:t>
            </w:r>
          </w:p>
        </w:tc>
        <w:tc>
          <w:tcPr>
            <w:tcW w:type="dxa" w:w="336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CSV</w:t>
            </w:r>
          </w:p>
        </w:tc>
        <w:tc>
          <w:tcPr>
            <w:tcW w:type="dxa" w:w="3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User, Budget, Transaction (batch 1)</w:t>
            </w:r>
          </w:p>
        </w:tc>
        <w:tc>
          <w:tcPr>
            <w:tcW w:type="dxa" w:w="33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Standard delimited export</w:t>
            </w:r>
          </w:p>
        </w:tc>
      </w:tr>
      <w:tr>
        <w:tc>
          <w:tcPr>
            <w:tcW w:type="dxa" w:w="24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NDJSON</w:t>
            </w:r>
          </w:p>
        </w:tc>
        <w:tc>
          <w:tcPr>
            <w:tcW w:type="dxa" w:w="36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Category, Insight, Transaction (batch 2)</w:t>
            </w:r>
          </w:p>
        </w:tc>
        <w:tc>
          <w:tcPr>
            <w:tcW w:type="dxa" w:w="336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One JSON object per line — no wrapping array, streams cleanly into Snowpipe</w:t>
            </w:r>
          </w:p>
        </w:tc>
      </w:tr>
      <w:tr>
        <w:tc>
          <w:tcPr>
            <w:tcW w:type="dxa" w:w="2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Pipe-delimited TXT</w:t>
            </w:r>
          </w:p>
        </w:tc>
        <w:tc>
          <w:tcPr>
            <w:tcW w:type="dxa" w:w="3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Transaction (batch 3)</w:t>
            </w:r>
          </w:p>
        </w:tc>
        <w:tc>
          <w:tcPr>
            <w:tcW w:type="dxa" w:w="33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Simulates a legacy flat-file export; uses literal "NULL" strings instead of true nulls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mbria" w:cs="Cambria" w:eastAsia="Cambria" w:hAnsi="Cambria"/>
          <w:b/>
          <w:bCs/>
          <w:color w:val="14142B"/>
          <w:sz w:val="24"/>
          <w:szCs w:val="24"/>
        </w:rPr>
        <w:t xml:space="preserve">3.2  S3 folder structure</w:t>
      </w:r>
    </w:p>
    <w:p>
      <w:pPr>
        <w:spacing w:after="160" w:line="300"/>
      </w:pPr>
      <w:r>
        <w:rPr>
          <w:rFonts w:ascii="Calibri" w:cs="Calibri" w:eastAsia="Calibri" w:hAnsi="Calibri"/>
          <w:color w:val="24303D"/>
          <w:sz w:val="22"/>
          <w:szCs w:val="22"/>
        </w:rPr>
        <w:t xml:space="preserve">Files are organized entity-first, then format, then date-partitioned — this lets each Snowpipe channel watch exactly one prefix and load into exactly one raw table with no ambiguity.</w:t>
      </w:r>
    </w:p>
    <w:tbl>
      <w:tblPr>
        <w:tblW w:type="pct" w:w="100%"/>
        <w:tblBorders>
          <w:top w:val="single" w:color="1E1D3F" w:sz="2"/>
          <w:left w:val="single" w:color="1E1D3F" w:sz="2"/>
          <w:bottom w:val="single" w:color="1E1D3F" w:sz="2"/>
          <w:right w:val="single" w:color="1E1D3F" w:sz="2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14142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4E8EC"/>
                <w:sz w:val="18"/>
                <w:szCs w:val="18"/>
              </w:rPr>
              <w:t xml:space="preserve">wealthwizard-raw/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4E8EC"/>
                <w:sz w:val="18"/>
                <w:szCs w:val="18"/>
              </w:rPr>
              <w:t xml:space="preserve">├── user/dt=YYYY-MM-DD/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4E8EC"/>
                <w:sz w:val="18"/>
                <w:szCs w:val="18"/>
              </w:rPr>
              <w:t xml:space="preserve">├── category/dt=YYYY-MM-DD/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4E8EC"/>
                <w:sz w:val="18"/>
                <w:szCs w:val="18"/>
              </w:rPr>
              <w:t xml:space="preserve">├── budget/dt=YYYY-MM-DD/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4E8EC"/>
                <w:sz w:val="18"/>
                <w:szCs w:val="18"/>
              </w:rPr>
              <w:t xml:space="preserve">├── insight/dt=YYYY-MM-DD/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4E8EC"/>
                <w:sz w:val="18"/>
                <w:szCs w:val="18"/>
              </w:rPr>
              <w:t xml:space="preserve">└── transaction/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4E8EC"/>
                <w:sz w:val="18"/>
                <w:szCs w:val="18"/>
              </w:rPr>
              <w:t xml:space="preserve">    ├── csv/dt=YYYY-MM-DD/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4E8EC"/>
                <w:sz w:val="18"/>
                <w:szCs w:val="18"/>
              </w:rPr>
              <w:t xml:space="preserve">    ├── ndjson/dt=YYYY-MM-DD/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4E8EC"/>
                <w:sz w:val="18"/>
                <w:szCs w:val="18"/>
              </w:rPr>
              <w:t xml:space="preserve">    └── txt/dt=YYYY-MM-DD/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mbria" w:cs="Cambria" w:eastAsia="Cambria" w:hAnsi="Cambria"/>
          <w:b/>
          <w:bCs/>
          <w:color w:val="14142B"/>
          <w:sz w:val="24"/>
          <w:szCs w:val="24"/>
        </w:rPr>
        <w:t xml:space="preserve">3.3  Snowpipe channels</w:t>
      </w:r>
    </w:p>
    <w:p>
      <w:pPr>
        <w:spacing w:after="160" w:line="300"/>
      </w:pPr>
      <w:r>
        <w:rPr>
          <w:rFonts w:ascii="Calibri" w:cs="Calibri" w:eastAsia="Calibri" w:hAnsi="Calibri"/>
          <w:color w:val="24303D"/>
          <w:sz w:val="22"/>
          <w:szCs w:val="22"/>
        </w:rPr>
        <w:t xml:space="preserve">Seven Snowpipe objects run continuously, each subscribed to its own S3 prefix via an SQS event notification. This is genuinely event-driven ingestion, not a scheduled poll — a file landing in S3 triggers a load within moments.</w:t>
      </w:r>
    </w:p>
    <w:tbl>
      <w:tblPr>
        <w:tblW w:type="dxa" w:w="9360"/>
        <w:tblBorders>
          <w:top w:val="single" w:color="DED6EC" w:sz="2"/>
          <w:left w:val="single" w:color="DED6EC" w:sz="2"/>
          <w:bottom w:val="single" w:color="DED6EC" w:sz="2"/>
          <w:right w:val="single" w:color="DED6EC" w:sz="2"/>
          <w:insideH w:val="single" w:color="DED6EC" w:sz="2"/>
          <w:insideV w:val="single" w:color="DED6EC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Pipe</w:t>
            </w:r>
          </w:p>
        </w:tc>
        <w:tc>
          <w:tcPr>
            <w:tcW w:type="dxa" w:w="468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 table</w:t>
            </w:r>
          </w:p>
        </w:tc>
      </w:tr>
      <w:tr>
        <w:tc>
          <w:tcPr>
            <w:tcW w:type="dxa" w:w="468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USER_PIPE</w:t>
            </w:r>
          </w:p>
        </w:tc>
        <w:tc>
          <w:tcPr>
            <w:tcW w:type="dxa" w:w="468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RAW_USER</w:t>
            </w:r>
          </w:p>
        </w:tc>
      </w:tr>
      <w:tr>
        <w:tc>
          <w:tcPr>
            <w:tcW w:type="dxa" w:w="468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CATEGORY_PIPE</w:t>
            </w:r>
          </w:p>
        </w:tc>
        <w:tc>
          <w:tcPr>
            <w:tcW w:type="dxa" w:w="468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RAW_CATEGORY</w:t>
            </w:r>
          </w:p>
        </w:tc>
      </w:tr>
      <w:tr>
        <w:tc>
          <w:tcPr>
            <w:tcW w:type="dxa" w:w="468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BUDGET_PIPE</w:t>
            </w:r>
          </w:p>
        </w:tc>
        <w:tc>
          <w:tcPr>
            <w:tcW w:type="dxa" w:w="468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RAW_BUDGET</w:t>
            </w:r>
          </w:p>
        </w:tc>
      </w:tr>
      <w:tr>
        <w:tc>
          <w:tcPr>
            <w:tcW w:type="dxa" w:w="468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INSIGHT_PIPE</w:t>
            </w:r>
          </w:p>
        </w:tc>
        <w:tc>
          <w:tcPr>
            <w:tcW w:type="dxa" w:w="468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RAW_INSIGHT</w:t>
            </w:r>
          </w:p>
        </w:tc>
      </w:tr>
      <w:tr>
        <w:tc>
          <w:tcPr>
            <w:tcW w:type="dxa" w:w="468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TRANSACTION_CSV_PIPE</w:t>
            </w:r>
          </w:p>
        </w:tc>
        <w:tc>
          <w:tcPr>
            <w:tcW w:type="dxa" w:w="468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RAW_TRANSACTION</w:t>
            </w:r>
          </w:p>
        </w:tc>
      </w:tr>
      <w:tr>
        <w:tc>
          <w:tcPr>
            <w:tcW w:type="dxa" w:w="468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TRANSACTION_JSON_PIPE</w:t>
            </w:r>
          </w:p>
        </w:tc>
        <w:tc>
          <w:tcPr>
            <w:tcW w:type="dxa" w:w="468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RAW_TRANSACTION</w:t>
            </w:r>
          </w:p>
        </w:tc>
      </w:tr>
      <w:tr>
        <w:tc>
          <w:tcPr>
            <w:tcW w:type="dxa" w:w="468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TRANSACTION_TXT_PIPE</w:t>
            </w:r>
          </w:p>
        </w:tc>
        <w:tc>
          <w:tcPr>
            <w:tcW w:type="dxa" w:w="468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RAW_TRANSACTION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mbria" w:cs="Cambria" w:eastAsia="Cambria" w:hAnsi="Cambria"/>
          <w:b/>
          <w:bCs/>
          <w:color w:val="14142B"/>
          <w:sz w:val="24"/>
          <w:szCs w:val="24"/>
        </w:rPr>
        <w:t xml:space="preserve">3.4  Design principle: raw tables accept everything</w:t>
      </w:r>
    </w:p>
    <w:tbl>
      <w:tblPr>
        <w:tblW w:type="pct" w:w="100%"/>
        <w:tblBorders>
          <w:top w:val="single" w:color="B4690E" w:sz="4"/>
          <w:left w:val="single" w:color="B4690E" w:sz="4"/>
          <w:bottom w:val="single" w:color="B4690E" w:sz="4"/>
          <w:right w:val="single" w:color="B4690E" w:sz="4"/>
          <w:insideH w:val="none"/>
          <w:insideV w:val="none"/>
        </w:tblBorders>
      </w:tblPr>
      <w:tblGrid>
        <w:gridCol w:w="100"/>
      </w:tblGrid>
      <w:tr>
        <w:tc>
          <w:tcPr>
            <w:shd w:fill="FBEFDD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4690E"/>
                <w:spacing w:val="20"/>
                <w:sz w:val="18"/>
                <w:szCs w:val="18"/>
              </w:rPr>
              <w:t xml:space="preserve">DESIGN NOTE</w:t>
            </w:r>
          </w:p>
          <w:p>
            <w:r>
              <w:rPr>
                <w:rFonts w:ascii="Calibri" w:cs="Calibri" w:eastAsia="Calibri" w:hAnsi="Calibri"/>
                <w:color w:val="3A3220"/>
                <w:sz w:val="21"/>
                <w:szCs w:val="21"/>
              </w:rPr>
              <w:t xml:space="preserve">Every RAW table column is nullable text with a surrogate row key. A negative amount, a malformed date, or a blank required field all still land successfully — they are caught deliberately in the Stage layer, not rejected silently at ingestion. This preserves a faithful copy of the source for review and reprocessing.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4690E" w:sz="6" w:space="6"/>
        </w:pBdr>
        <w:spacing w:after="200" w:before="480"/>
      </w:pPr>
      <w:r>
        <w:rPr>
          <w:rFonts w:ascii="Cambria" w:cs="Cambria" w:eastAsia="Cambria" w:hAnsi="Cambria"/>
          <w:b/>
          <w:bCs/>
          <w:color w:val="14142B"/>
          <w:sz w:val="30"/>
          <w:szCs w:val="30"/>
        </w:rPr>
        <w:t xml:space="preserve">4.  Data Cleaning &amp; Validation</w:t>
      </w:r>
    </w:p>
    <w:p>
      <w:pPr>
        <w:spacing w:after="160" w:line="300"/>
      </w:pPr>
      <w:r>
        <w:rPr>
          <w:rFonts w:ascii="Calibri" w:cs="Calibri" w:eastAsia="Calibri" w:hAnsi="Calibri"/>
          <w:color w:val="24303D"/>
          <w:sz w:val="22"/>
          <w:szCs w:val="22"/>
        </w:rPr>
        <w:t xml:space="preserve">Cleaning follows a strict dependency order, since later tables validate foreign keys against earlier ones: Category → User → Transaction → Budget → Insight.</w:t>
      </w:r>
    </w:p>
    <w:p>
      <w:pPr>
        <w:pStyle w:val="Heading2"/>
        <w:spacing w:after="140" w:before="320"/>
      </w:pPr>
      <w:r>
        <w:rPr>
          <w:rFonts w:ascii="Cambria" w:cs="Cambria" w:eastAsia="Cambria" w:hAnsi="Cambria"/>
          <w:b/>
          <w:bCs/>
          <w:color w:val="14142B"/>
          <w:sz w:val="24"/>
          <w:szCs w:val="24"/>
        </w:rPr>
        <w:t xml:space="preserve">4.1  Validation rules applied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Calibri" w:cs="Calibri" w:eastAsia="Calibri" w:hAnsi="Calibri"/>
          <w:color w:val="24303D"/>
          <w:sz w:val="21"/>
          <w:szCs w:val="21"/>
        </w:rPr>
        <w:t xml:space="preserve">Multi-format date parsing — attempts ISO, DD-MM-YYYY, DD/MM/YYYY, MM/DD/YYYY, and YYYY/MM/DD before giving up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Calibri" w:cs="Calibri" w:eastAsia="Calibri" w:hAnsi="Calibri"/>
          <w:color w:val="24303D"/>
          <w:sz w:val="21"/>
          <w:szCs w:val="21"/>
        </w:rPr>
        <w:t xml:space="preserve">Currency-string amounts (e.g. “Rs.4521.0”) stripped to clean decimals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Calibri" w:cs="Calibri" w:eastAsia="Calibri" w:hAnsi="Calibri"/>
          <w:color w:val="24303D"/>
          <w:sz w:val="21"/>
          <w:szCs w:val="21"/>
        </w:rPr>
        <w:t xml:space="preserve">Negative or zero amounts rejected — enforces the business rule that an expense cannot be negative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Calibri" w:cs="Calibri" w:eastAsia="Calibri" w:hAnsi="Calibri"/>
          <w:color w:val="24303D"/>
          <w:sz w:val="21"/>
          <w:szCs w:val="21"/>
        </w:rPr>
        <w:t xml:space="preserve">Future-dated transactions rejected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Calibri" w:cs="Calibri" w:eastAsia="Calibri" w:hAnsi="Calibri"/>
          <w:color w:val="24303D"/>
          <w:sz w:val="21"/>
          <w:szCs w:val="21"/>
        </w:rPr>
        <w:t xml:space="preserve">Orphan foreign keys rejected — a transaction referencing a non-existent user or category never reaches Stage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Calibri" w:cs="Calibri" w:eastAsia="Calibri" w:hAnsi="Calibri"/>
          <w:color w:val="24303D"/>
          <w:sz w:val="21"/>
          <w:szCs w:val="21"/>
        </w:rPr>
        <w:t xml:space="preserve">Deduplication with a deliberate tie-break: a row with a valid ID always wins over a row with a blank ID, even if the blank row has a more recent timestamp</w:t>
      </w:r>
    </w:p>
    <w:p>
      <w:pPr>
        <w:spacing w:after="160"/>
      </w:pPr>
    </w:p>
    <w:p>
      <w:pPr>
        <w:pStyle w:val="Heading2"/>
        <w:spacing w:after="140" w:before="320"/>
      </w:pPr>
      <w:r>
        <w:rPr>
          <w:rFonts w:ascii="Cambria" w:cs="Cambria" w:eastAsia="Cambria" w:hAnsi="Cambria"/>
          <w:b/>
          <w:bCs/>
          <w:color w:val="14142B"/>
          <w:sz w:val="24"/>
          <w:szCs w:val="24"/>
        </w:rPr>
        <w:t xml:space="preserve">4.2  The reject pattern</w:t>
      </w:r>
    </w:p>
    <w:p>
      <w:pPr>
        <w:spacing w:after="160" w:line="300"/>
      </w:pPr>
      <w:r>
        <w:rPr>
          <w:rFonts w:ascii="Calibri" w:cs="Calibri" w:eastAsia="Calibri" w:hAnsi="Calibri"/>
          <w:color w:val="24303D"/>
          <w:sz w:val="22"/>
          <w:szCs w:val="22"/>
        </w:rPr>
        <w:t xml:space="preserve">Every cleaning procedure writes to two tables: the clean STG_* table for rows that pass, and a matching STG_*_REJECTS table for rows that don't — tagged with a specific, human-readable reason. Nothing is ever silently dropped.</w:t>
      </w:r>
    </w:p>
    <w:tbl>
      <w:tblPr>
        <w:tblW w:type="pct" w:w="100%"/>
        <w:tblBorders>
          <w:top w:val="single" w:color="1E1D3F" w:sz="2"/>
          <w:left w:val="single" w:color="1E1D3F" w:sz="2"/>
          <w:bottom w:val="single" w:color="1E1D3F" w:sz="2"/>
          <w:right w:val="single" w:color="1E1D3F" w:sz="2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14142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4E8EC"/>
                <w:sz w:val="18"/>
                <w:szCs w:val="18"/>
              </w:rPr>
              <w:t xml:space="preserve">INSERT INTO STG_TRANSACTION_REJECTS (txn_id, ..., reject_reason)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4E8EC"/>
                <w:sz w:val="18"/>
                <w:szCs w:val="18"/>
              </w:rPr>
              <w:t xml:space="preserve">SELECT ...,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4E8EC"/>
                <w:sz w:val="18"/>
                <w:szCs w:val="18"/>
              </w:rPr>
              <w:t xml:space="preserve">  CASE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4E8EC"/>
                <w:sz w:val="18"/>
                <w:szCs w:val="18"/>
              </w:rPr>
              <w:t xml:space="preserve">    WHEN txn_date_clean IS NULL THEN 'unparseable date'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4E8EC"/>
                <w:sz w:val="18"/>
                <w:szCs w:val="18"/>
              </w:rPr>
              <w:t xml:space="preserve">    WHEN txn_date_clean &gt; CURRENT_DATE() THEN 'future-dated transaction'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4E8EC"/>
                <w:sz w:val="18"/>
                <w:szCs w:val="18"/>
              </w:rPr>
              <w:t xml:space="preserve">    WHEN amount_clean &lt;= 0 THEN 'non-positive amount'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4E8EC"/>
                <w:sz w:val="18"/>
                <w:szCs w:val="18"/>
              </w:rPr>
              <w:t xml:space="preserve">    WHEN user_id NOT IN (SELECT user_id FROM STG_USER) THEN 'orphan user_id'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4E8EC"/>
                <w:sz w:val="18"/>
                <w:szCs w:val="18"/>
              </w:rPr>
              <w:t xml:space="preserve">    ELSE 'unknown'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4E8EC"/>
                <w:sz w:val="18"/>
                <w:szCs w:val="18"/>
              </w:rPr>
              <w:t xml:space="preserve">  END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4E8EC"/>
                <w:sz w:val="18"/>
                <w:szCs w:val="18"/>
              </w:rPr>
              <w:t xml:space="preserve">FROM VW_TRANSACTION_STAGED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4E8EC"/>
                <w:sz w:val="18"/>
                <w:szCs w:val="18"/>
              </w:rPr>
              <w:t xml:space="preserve">WHERE NOT (/* all validation conditions */);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mbria" w:cs="Cambria" w:eastAsia="Cambria" w:hAnsi="Cambria"/>
          <w:b/>
          <w:bCs/>
          <w:color w:val="14142B"/>
          <w:sz w:val="24"/>
          <w:szCs w:val="24"/>
        </w:rPr>
        <w:t xml:space="preserve">4.3  Reconciliation</w:t>
      </w:r>
    </w:p>
    <w:p>
      <w:pPr>
        <w:spacing w:after="160" w:line="300"/>
      </w:pPr>
      <w:r>
        <w:rPr>
          <w:rFonts w:ascii="Calibri" w:cs="Calibri" w:eastAsia="Calibri" w:hAnsi="Calibri"/>
          <w:color w:val="24303D"/>
          <w:sz w:val="22"/>
          <w:szCs w:val="22"/>
        </w:rPr>
        <w:t xml:space="preserve">Every cleaning run is checked with a single invariant: raw row count must equal clean row count plus reject row count. If it doesn't, a row disappeared somewhere in the logic — this is the pipeline's basic data-integrity smoke test, run after every load.</w:t>
      </w:r>
    </w:p>
    <w:p>
      <w:pPr>
        <w:pStyle w:val="Heading2"/>
        <w:spacing w:after="140" w:before="320"/>
      </w:pPr>
      <w:r>
        <w:rPr>
          <w:rFonts w:ascii="Cambria" w:cs="Cambria" w:eastAsia="Cambria" w:hAnsi="Cambria"/>
          <w:b/>
          <w:bCs/>
          <w:color w:val="14142B"/>
          <w:sz w:val="24"/>
          <w:szCs w:val="24"/>
        </w:rPr>
        <w:t xml:space="preserve">4.4  Clean-through rates (representative run)</w:t>
      </w:r>
    </w:p>
    <w:tbl>
      <w:tblPr>
        <w:tblW w:type="dxa" w:w="9360"/>
        <w:tblBorders>
          <w:top w:val="single" w:color="DED6EC" w:sz="2"/>
          <w:left w:val="single" w:color="DED6EC" w:sz="2"/>
          <w:bottom w:val="single" w:color="DED6EC" w:sz="2"/>
          <w:right w:val="single" w:color="DED6EC" w:sz="2"/>
          <w:insideH w:val="single" w:color="DED6EC" w:sz="2"/>
          <w:insideV w:val="single" w:color="DED6EC" w:sz="2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Entity</w:t>
            </w:r>
          </w:p>
        </w:tc>
        <w:tc>
          <w:tcPr>
            <w:tcW w:type="dxa" w:w="234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Raw rows</w:t>
            </w:r>
          </w:p>
        </w:tc>
        <w:tc>
          <w:tcPr>
            <w:tcW w:type="dxa" w:w="234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Clean rows</w:t>
            </w:r>
          </w:p>
        </w:tc>
        <w:tc>
          <w:tcPr>
            <w:tcW w:type="dxa" w:w="234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Rejected</w:t>
            </w:r>
          </w:p>
        </w:tc>
      </w:tr>
      <w:tr>
        <w:tc>
          <w:tcPr>
            <w:tcW w:type="dxa" w:w="234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Category</w:t>
            </w:r>
          </w:p>
        </w:tc>
        <w:tc>
          <w:tcPr>
            <w:tcW w:type="dxa" w:w="234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24</w:t>
            </w:r>
          </w:p>
        </w:tc>
        <w:tc>
          <w:tcPr>
            <w:tcW w:type="dxa" w:w="234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20</w:t>
            </w:r>
          </w:p>
        </w:tc>
        <w:tc>
          <w:tcPr>
            <w:tcW w:type="dxa" w:w="234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34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User</w:t>
            </w:r>
          </w:p>
        </w:tc>
        <w:tc>
          <w:tcPr>
            <w:tcW w:type="dxa" w:w="234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5,000</w:t>
            </w:r>
          </w:p>
        </w:tc>
        <w:tc>
          <w:tcPr>
            <w:tcW w:type="dxa" w:w="234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4,434</w:t>
            </w:r>
          </w:p>
        </w:tc>
        <w:tc>
          <w:tcPr>
            <w:tcW w:type="dxa" w:w="234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566</w:t>
            </w:r>
          </w:p>
        </w:tc>
      </w:tr>
      <w:tr>
        <w:tc>
          <w:tcPr>
            <w:tcW w:type="dxa" w:w="234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Transaction</w:t>
            </w:r>
          </w:p>
        </w:tc>
        <w:tc>
          <w:tcPr>
            <w:tcW w:type="dxa" w:w="234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100,000+</w:t>
            </w:r>
          </w:p>
        </w:tc>
        <w:tc>
          <w:tcPr>
            <w:tcW w:type="dxa" w:w="234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78,155</w:t>
            </w:r>
          </w:p>
        </w:tc>
        <w:tc>
          <w:tcPr>
            <w:tcW w:type="dxa" w:w="234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~22,000</w:t>
            </w:r>
          </w:p>
        </w:tc>
      </w:tr>
      <w:tr>
        <w:tc>
          <w:tcPr>
            <w:tcW w:type="dxa" w:w="234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Budget</w:t>
            </w:r>
          </w:p>
        </w:tc>
        <w:tc>
          <w:tcPr>
            <w:tcW w:type="dxa" w:w="234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8,000</w:t>
            </w:r>
          </w:p>
        </w:tc>
        <w:tc>
          <w:tcPr>
            <w:tcW w:type="dxa" w:w="234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6,170</w:t>
            </w:r>
          </w:p>
        </w:tc>
        <w:tc>
          <w:tcPr>
            <w:tcW w:type="dxa" w:w="234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1,830</w:t>
            </w:r>
          </w:p>
        </w:tc>
      </w:tr>
      <w:tr>
        <w:tc>
          <w:tcPr>
            <w:tcW w:type="dxa" w:w="234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Insight</w:t>
            </w:r>
          </w:p>
        </w:tc>
        <w:tc>
          <w:tcPr>
            <w:tcW w:type="dxa" w:w="234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15,000</w:t>
            </w:r>
          </w:p>
        </w:tc>
        <w:tc>
          <w:tcPr>
            <w:tcW w:type="dxa" w:w="234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13,854</w:t>
            </w:r>
          </w:p>
        </w:tc>
        <w:tc>
          <w:tcPr>
            <w:tcW w:type="dxa" w:w="234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1,146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4690E" w:sz="6" w:space="6"/>
        </w:pBdr>
        <w:spacing w:after="200" w:before="480"/>
      </w:pPr>
      <w:r>
        <w:rPr>
          <w:rFonts w:ascii="Cambria" w:cs="Cambria" w:eastAsia="Cambria" w:hAnsi="Cambria"/>
          <w:b/>
          <w:bCs/>
          <w:color w:val="14142B"/>
          <w:sz w:val="30"/>
          <w:szCs w:val="30"/>
        </w:rPr>
        <w:t xml:space="preserve">5.  Dimensional Model (Mart Layer)</w:t>
      </w:r>
    </w:p>
    <w:p>
      <w:pPr>
        <w:spacing w:after="160" w:line="300"/>
      </w:pPr>
      <w:r>
        <w:rPr>
          <w:rFonts w:ascii="Calibri" w:cs="Calibri" w:eastAsia="Calibri" w:hAnsi="Calibri"/>
          <w:color w:val="24303D"/>
          <w:sz w:val="22"/>
          <w:szCs w:val="22"/>
        </w:rPr>
        <w:t xml:space="preserve">The mart layer reshapes clean data into a star schema — dimension tables surrounding fact tables — optimized for the exact questions the dashboard asks: monthly summaries, category breakdowns, and budget-vs-actual comparisons.</w:t>
      </w:r>
    </w:p>
    <w:p>
      <w:pPr>
        <w:pStyle w:val="Heading2"/>
        <w:spacing w:after="140" w:before="320"/>
      </w:pPr>
      <w:r>
        <w:rPr>
          <w:rFonts w:ascii="Cambria" w:cs="Cambria" w:eastAsia="Cambria" w:hAnsi="Cambria"/>
          <w:b/>
          <w:bCs/>
          <w:color w:val="14142B"/>
          <w:sz w:val="24"/>
          <w:szCs w:val="24"/>
        </w:rPr>
        <w:t xml:space="preserve">5.1  Dimension tables</w:t>
      </w:r>
    </w:p>
    <w:tbl>
      <w:tblPr>
        <w:tblW w:type="dxa" w:w="9360"/>
        <w:tblBorders>
          <w:top w:val="single" w:color="DED6EC" w:sz="2"/>
          <w:left w:val="single" w:color="DED6EC" w:sz="2"/>
          <w:bottom w:val="single" w:color="DED6EC" w:sz="2"/>
          <w:right w:val="single" w:color="DED6EC" w:sz="2"/>
          <w:insideH w:val="single" w:color="DED6EC" w:sz="2"/>
          <w:insideV w:val="single" w:color="DED6EC" w:sz="2"/>
        </w:tblBorders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type="dxa" w:w="220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Table</w:t>
            </w:r>
          </w:p>
        </w:tc>
        <w:tc>
          <w:tcPr>
            <w:tcW w:type="dxa" w:w="260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Grain</w:t>
            </w:r>
          </w:p>
        </w:tc>
        <w:tc>
          <w:tcPr>
            <w:tcW w:type="dxa" w:w="456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Key columns</w:t>
            </w:r>
          </w:p>
        </w:tc>
      </w:tr>
      <w:tr>
        <w:tc>
          <w:tcPr>
            <w:tcW w:type="dxa" w:w="2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DIM_USER</w:t>
            </w:r>
          </w:p>
        </w:tc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One row per user</w:t>
            </w:r>
          </w:p>
        </w:tc>
        <w:tc>
          <w:tcPr>
            <w:tcW w:type="dxa" w:w="45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user_key (surrogate), user_id, name, email, signup_date</w:t>
            </w:r>
          </w:p>
        </w:tc>
      </w:tr>
      <w:tr>
        <w:tc>
          <w:tcPr>
            <w:tcW w:type="dxa" w:w="22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DIM_CATEGORY</w:t>
            </w:r>
          </w:p>
        </w:tc>
        <w:tc>
          <w:tcPr>
            <w:tcW w:type="dxa" w:w="26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One row per category</w:t>
            </w:r>
          </w:p>
        </w:tc>
        <w:tc>
          <w:tcPr>
            <w:tcW w:type="dxa" w:w="456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category_key (surrogate), category_id, name, active_flag</w:t>
            </w:r>
          </w:p>
        </w:tc>
      </w:tr>
      <w:tr>
        <w:tc>
          <w:tcPr>
            <w:tcW w:type="dxa" w:w="2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DIM_DATE</w:t>
            </w:r>
          </w:p>
        </w:tc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One row per calendar day</w:t>
            </w:r>
          </w:p>
        </w:tc>
        <w:tc>
          <w:tcPr>
            <w:tcW w:type="dxa" w:w="45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date_key (INT, YYYYMMDD), full_date, month, quarter, year</w:t>
            </w:r>
          </w:p>
        </w:tc>
      </w:tr>
    </w:tbl>
    <w:p>
      <w:pPr>
        <w:spacing w:after="140"/>
      </w:pPr>
    </w:p>
    <w:p>
      <w:pPr>
        <w:pStyle w:val="Heading2"/>
        <w:spacing w:after="140" w:before="320"/>
      </w:pPr>
      <w:r>
        <w:rPr>
          <w:rFonts w:ascii="Cambria" w:cs="Cambria" w:eastAsia="Cambria" w:hAnsi="Cambria"/>
          <w:b/>
          <w:bCs/>
          <w:color w:val="14142B"/>
          <w:sz w:val="24"/>
          <w:szCs w:val="24"/>
        </w:rPr>
        <w:t xml:space="preserve">5.2  Fact tables</w:t>
      </w:r>
    </w:p>
    <w:tbl>
      <w:tblPr>
        <w:tblW w:type="dxa" w:w="9360"/>
        <w:tblBorders>
          <w:top w:val="single" w:color="DED6EC" w:sz="2"/>
          <w:left w:val="single" w:color="DED6EC" w:sz="2"/>
          <w:bottom w:val="single" w:color="DED6EC" w:sz="2"/>
          <w:right w:val="single" w:color="DED6EC" w:sz="2"/>
          <w:insideH w:val="single" w:color="DED6EC" w:sz="2"/>
          <w:insideV w:val="single" w:color="DED6EC" w:sz="2"/>
        </w:tblBorders>
      </w:tblPr>
      <w:tblGrid>
        <w:gridCol w:w="3400"/>
        <w:gridCol w:w="1800"/>
        <w:gridCol w:w="4160"/>
      </w:tblGrid>
      <w:tr>
        <w:trPr>
          <w:tblHeader/>
        </w:trPr>
        <w:tc>
          <w:tcPr>
            <w:tcW w:type="dxa" w:w="340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Table</w:t>
            </w:r>
          </w:p>
        </w:tc>
        <w:tc>
          <w:tcPr>
            <w:tcW w:type="dxa" w:w="180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Row count</w:t>
            </w:r>
          </w:p>
        </w:tc>
        <w:tc>
          <w:tcPr>
            <w:tcW w:type="dxa" w:w="416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3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FACT_TRANSACTION</w:t>
            </w:r>
          </w:p>
        </w:tc>
        <w:tc>
          <w:tcPr>
            <w:tcW w:type="dxa" w:w="18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78,155</w:t>
            </w:r>
          </w:p>
        </w:tc>
        <w:tc>
          <w:tcPr>
            <w:tcW w:type="dxa" w:w="41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One row per validated transaction</w:t>
            </w:r>
          </w:p>
        </w:tc>
      </w:tr>
      <w:tr>
        <w:tc>
          <w:tcPr>
            <w:tcW w:type="dxa" w:w="34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FACT_BUDGET</w:t>
            </w:r>
          </w:p>
        </w:tc>
        <w:tc>
          <w:tcPr>
            <w:tcW w:type="dxa" w:w="18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6,170</w:t>
            </w:r>
          </w:p>
        </w:tc>
        <w:tc>
          <w:tcPr>
            <w:tcW w:type="dxa" w:w="416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One row per user/category/period budget</w:t>
            </w:r>
          </w:p>
        </w:tc>
      </w:tr>
      <w:tr>
        <w:tc>
          <w:tcPr>
            <w:tcW w:type="dxa" w:w="3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FACT_INSIGHT</w:t>
            </w:r>
          </w:p>
        </w:tc>
        <w:tc>
          <w:tcPr>
            <w:tcW w:type="dxa" w:w="18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23,956</w:t>
            </w:r>
          </w:p>
        </w:tc>
        <w:tc>
          <w:tcPr>
            <w:tcW w:type="dxa" w:w="41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Combined raw-loaded and AI-generated insights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mbria" w:cs="Cambria" w:eastAsia="Cambria" w:hAnsi="Cambria"/>
          <w:b/>
          <w:bCs/>
          <w:color w:val="14142B"/>
          <w:sz w:val="24"/>
          <w:szCs w:val="24"/>
        </w:rPr>
        <w:t xml:space="preserve">5.3  Why surrogate keys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Calibri" w:cs="Calibri" w:eastAsia="Calibri" w:hAnsi="Calibri"/>
          <w:color w:val="24303D"/>
          <w:sz w:val="21"/>
          <w:szCs w:val="21"/>
        </w:rPr>
        <w:t xml:space="preserve">Enable history tracking without overwriting existing facts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Calibri" w:cs="Calibri" w:eastAsia="Calibri" w:hAnsi="Calibri"/>
          <w:color w:val="24303D"/>
          <w:sz w:val="21"/>
          <w:szCs w:val="21"/>
        </w:rPr>
        <w:t xml:space="preserve">Decouple the mart from the source system's key format — if a business key changes shape, only the load job needs to know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Calibri" w:cs="Calibri" w:eastAsia="Calibri" w:hAnsi="Calibri"/>
          <w:color w:val="24303D"/>
          <w:sz w:val="21"/>
          <w:szCs w:val="21"/>
        </w:rPr>
        <w:t xml:space="preserve">Faster joins across every fact table than joining on longer business-key strings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Calibri" w:cs="Calibri" w:eastAsia="Calibri" w:hAnsi="Calibri"/>
          <w:color w:val="24303D"/>
          <w:sz w:val="21"/>
          <w:szCs w:val="21"/>
        </w:rPr>
        <w:t xml:space="preserve">A dedicated “unknown” dimension row can absorb an orphaned reference cleanly, instead of breaking a join</w:t>
      </w:r>
    </w:p>
    <w:p>
      <w:pPr>
        <w:spacing w:after="120"/>
      </w:pPr>
    </w:p>
    <w:p>
      <w:pPr>
        <w:spacing w:after="160" w:line="300"/>
      </w:pPr>
      <w:r>
        <w:rPr>
          <w:rFonts w:ascii="Calibri" w:cs="Calibri" w:eastAsia="Calibri" w:hAnsi="Calibri"/>
          <w:color w:val="24303D"/>
          <w:sz w:val="22"/>
          <w:szCs w:val="22"/>
        </w:rPr>
        <w:t xml:space="preserve">Generation method: keys are deterministic MD5 hashes of the business key (e.g. MD5(user_id)). This means reloading the same business key always produces the same surrogate key — idempotent by construction, with no separate lookup table required before a MERGE.</w:t>
      </w:r>
    </w:p>
    <w:p>
      <w:r>
        <w:br w:type="page"/>
      </w:r>
    </w:p>
    <w:p>
      <w:pPr>
        <w:pStyle w:val="Heading1"/>
        <w:pBdr>
          <w:bottom w:val="single" w:color="B4690E" w:sz="6" w:space="6"/>
        </w:pBdr>
        <w:spacing w:after="200" w:before="480"/>
      </w:pPr>
      <w:r>
        <w:rPr>
          <w:rFonts w:ascii="Cambria" w:cs="Cambria" w:eastAsia="Cambria" w:hAnsi="Cambria"/>
          <w:b/>
          <w:bCs/>
          <w:color w:val="14142B"/>
          <w:sz w:val="30"/>
          <w:szCs w:val="30"/>
        </w:rPr>
        <w:t xml:space="preserve">6.  Analytics Layer</w:t>
      </w:r>
    </w:p>
    <w:p>
      <w:pPr>
        <w:spacing w:after="160" w:line="300"/>
      </w:pPr>
      <w:r>
        <w:rPr>
          <w:rFonts w:ascii="Calibri" w:cs="Calibri" w:eastAsia="Calibri" w:hAnsi="Calibri"/>
          <w:color w:val="24303D"/>
          <w:sz w:val="22"/>
          <w:szCs w:val="22"/>
        </w:rPr>
        <w:t xml:space="preserve">Four views sit on top of the mart, each answering a specific analytical question live — no refresh procedure needed, since a view always reflects current fact-table data.</w:t>
      </w:r>
    </w:p>
    <w:tbl>
      <w:tblPr>
        <w:tblW w:type="dxa" w:w="9360"/>
        <w:tblBorders>
          <w:top w:val="single" w:color="DED6EC" w:sz="2"/>
          <w:left w:val="single" w:color="DED6EC" w:sz="2"/>
          <w:bottom w:val="single" w:color="DED6EC" w:sz="2"/>
          <w:right w:val="single" w:color="DED6EC" w:sz="2"/>
          <w:insideH w:val="single" w:color="DED6EC" w:sz="2"/>
          <w:insideV w:val="single" w:color="DED6EC" w:sz="2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View</w:t>
            </w:r>
          </w:p>
        </w:tc>
        <w:tc>
          <w:tcPr>
            <w:tcW w:type="dxa" w:w="596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Answers</w:t>
            </w:r>
          </w:p>
        </w:tc>
      </w:tr>
      <w:tr>
        <w:tc>
          <w:tcPr>
            <w:tcW w:type="dxa" w:w="3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VW_MONTHLY_SPEND_SUMMARY</w:t>
            </w:r>
          </w:p>
        </w:tc>
        <w:tc>
          <w:tcPr>
            <w:tcW w:type="dxa" w:w="59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Total income, expense, and net savings per user, per month</w:t>
            </w:r>
          </w:p>
        </w:tc>
      </w:tr>
      <w:tr>
        <w:tc>
          <w:tcPr>
            <w:tcW w:type="dxa" w:w="34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VW_CATEGORY_SPEND_RANKING</w:t>
            </w:r>
          </w:p>
        </w:tc>
        <w:tc>
          <w:tcPr>
            <w:tcW w:type="dxa" w:w="596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Top spending categories per user, per month, ranked</w:t>
            </w:r>
          </w:p>
        </w:tc>
      </w:tr>
      <w:tr>
        <w:tc>
          <w:tcPr>
            <w:tcW w:type="dxa" w:w="3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VW_SPENDING_ANOMALY</w:t>
            </w:r>
          </w:p>
        </w:tc>
        <w:tc>
          <w:tcPr>
            <w:tcW w:type="dxa" w:w="59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Where does this month's category spend exceed 1.5× the trailing 6-month average?</w:t>
            </w:r>
          </w:p>
        </w:tc>
      </w:tr>
      <w:tr>
        <w:tc>
          <w:tcPr>
            <w:tcW w:type="dxa" w:w="34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VW_SAVINGS_OPPORTUNITY</w:t>
            </w:r>
          </w:p>
        </w:tc>
        <w:tc>
          <w:tcPr>
            <w:tcW w:type="dxa" w:w="596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Where did spend fall below 70% of the trailing average — a genuine win worth surfacing?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mbria" w:cs="Cambria" w:eastAsia="Cambria" w:hAnsi="Cambria"/>
          <w:b/>
          <w:bCs/>
          <w:color w:val="14142B"/>
          <w:sz w:val="24"/>
          <w:szCs w:val="24"/>
        </w:rPr>
        <w:t xml:space="preserve">6.1  AI-generated insights</w:t>
      </w:r>
    </w:p>
    <w:p>
      <w:pPr>
        <w:spacing w:after="160" w:line="300"/>
      </w:pPr>
      <w:r>
        <w:rPr>
          <w:rFonts w:ascii="Calibri" w:cs="Calibri" w:eastAsia="Calibri" w:hAnsi="Calibri"/>
          <w:color w:val="24303D"/>
          <w:sz w:val="22"/>
          <w:szCs w:val="22"/>
        </w:rPr>
        <w:t xml:space="preserve">A dedicated procedure, SP_GENERATE_INSIGHTS(), scans the analytics views and the budget-alert table, converts each finding into a plain-language message, assigns a severity from 2 (informational) to 5 (urgent), and writes the result into FACT_INSIGHT using a deterministic key so repeated runs never create duplicates.</w:t>
      </w:r>
    </w:p>
    <w:tbl>
      <w:tblPr>
        <w:tblW w:type="dxa" w:w="9360"/>
        <w:tblBorders>
          <w:top w:val="single" w:color="DED6EC" w:sz="2"/>
          <w:left w:val="single" w:color="DED6EC" w:sz="2"/>
          <w:bottom w:val="single" w:color="DED6EC" w:sz="2"/>
          <w:right w:val="single" w:color="DED6EC" w:sz="2"/>
          <w:insideH w:val="single" w:color="DED6EC" w:sz="2"/>
          <w:insideV w:val="single" w:color="DED6EC" w:sz="2"/>
        </w:tblBorders>
      </w:tblPr>
      <w:tblGrid>
        <w:gridCol w:w="2600"/>
        <w:gridCol w:w="1400"/>
        <w:gridCol w:w="5360"/>
      </w:tblGrid>
      <w:tr>
        <w:trPr>
          <w:tblHeader/>
        </w:trPr>
        <w:tc>
          <w:tcPr>
            <w:tcW w:type="dxa" w:w="260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Insight type</w:t>
            </w:r>
          </w:p>
        </w:tc>
        <w:tc>
          <w:tcPr>
            <w:tcW w:type="dxa" w:w="140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Severity</w:t>
            </w:r>
          </w:p>
        </w:tc>
        <w:tc>
          <w:tcPr>
            <w:tcW w:type="dxa" w:w="536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Overspend alert</w:t>
            </w:r>
          </w:p>
        </w:tc>
        <w:tc>
          <w:tcPr>
            <w:tcW w:type="dxa" w:w="1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5</w:t>
            </w:r>
          </w:p>
        </w:tc>
        <w:tc>
          <w:tcPr>
            <w:tcW w:type="dxa" w:w="53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“You have exceeded your Travel budget by ₹28,065.86.”</w:t>
            </w:r>
          </w:p>
        </w:tc>
      </w:tr>
      <w:tr>
        <w:tc>
          <w:tcPr>
            <w:tcW w:type="dxa" w:w="26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Budget warning</w:t>
            </w:r>
          </w:p>
        </w:tc>
        <w:tc>
          <w:tcPr>
            <w:tcW w:type="dxa" w:w="14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3</w:t>
            </w:r>
          </w:p>
        </w:tc>
        <w:tc>
          <w:tcPr>
            <w:tcW w:type="dxa" w:w="536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80%+ of a category budget used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Spending trend / anomaly</w:t>
            </w:r>
          </w:p>
        </w:tc>
        <w:tc>
          <w:tcPr>
            <w:tcW w:type="dxa" w:w="1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4</w:t>
            </w:r>
          </w:p>
        </w:tc>
        <w:tc>
          <w:tcPr>
            <w:tcW w:type="dxa" w:w="53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“You spent 3.2× more on Travel this month than your usual average.”</w:t>
            </w:r>
          </w:p>
        </w:tc>
      </w:tr>
      <w:tr>
        <w:tc>
          <w:tcPr>
            <w:tcW w:type="dxa" w:w="26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Savings opportunity</w:t>
            </w:r>
          </w:p>
        </w:tc>
        <w:tc>
          <w:tcPr>
            <w:tcW w:type="dxa" w:w="14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2</w:t>
            </w:r>
          </w:p>
        </w:tc>
        <w:tc>
          <w:tcPr>
            <w:tcW w:type="dxa" w:w="536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“Nice! You spent 34% less on Groceries this month than usual.”</w:t>
            </w:r>
          </w:p>
        </w:tc>
      </w:tr>
    </w:tbl>
    <w:p>
      <w:pPr>
        <w:spacing w:after="140"/>
      </w:pPr>
    </w:p>
    <w:p>
      <w:pPr>
        <w:spacing w:after="160" w:line="300"/>
      </w:pPr>
      <w:r>
        <w:rPr>
          <w:rFonts w:ascii="Calibri" w:cs="Calibri" w:eastAsia="Calibri" w:hAnsi="Calibri"/>
          <w:color w:val="24303D"/>
          <w:sz w:val="22"/>
          <w:szCs w:val="22"/>
        </w:rPr>
        <w:t xml:space="preserve">Result of one production run across the full user base: 5 overspend alerts, 6,590 trend/anomaly findings, and 7,259 savings-opportunity findings — 23,854 new rows generated on top of the 10,102 rows already loaded from raw synthetic data.</w:t>
      </w:r>
    </w:p>
    <w:p>
      <w:r>
        <w:br w:type="page"/>
      </w:r>
    </w:p>
    <w:p>
      <w:pPr>
        <w:pStyle w:val="Heading1"/>
        <w:pBdr>
          <w:bottom w:val="single" w:color="B4690E" w:sz="6" w:space="6"/>
        </w:pBdr>
        <w:spacing w:after="200" w:before="480"/>
      </w:pPr>
      <w:r>
        <w:rPr>
          <w:rFonts w:ascii="Cambria" w:cs="Cambria" w:eastAsia="Cambria" w:hAnsi="Cambria"/>
          <w:b/>
          <w:bCs/>
          <w:color w:val="14142B"/>
          <w:sz w:val="30"/>
          <w:szCs w:val="30"/>
        </w:rPr>
        <w:t xml:space="preserve">7.  Automated Business Logic</w:t>
      </w:r>
    </w:p>
    <w:p>
      <w:pPr>
        <w:pStyle w:val="Heading2"/>
        <w:spacing w:after="140" w:before="320"/>
      </w:pPr>
      <w:r>
        <w:rPr>
          <w:rFonts w:ascii="Cambria" w:cs="Cambria" w:eastAsia="Cambria" w:hAnsi="Cambria"/>
          <w:b/>
          <w:bCs/>
          <w:color w:val="14142B"/>
          <w:sz w:val="24"/>
          <w:szCs w:val="24"/>
        </w:rPr>
        <w:t xml:space="preserve">7.1  Category reassignment</w:t>
      </w:r>
    </w:p>
    <w:p>
      <w:pPr>
        <w:spacing w:after="160" w:line="300"/>
      </w:pPr>
      <w:r>
        <w:rPr>
          <w:rFonts w:ascii="Calibri" w:cs="Calibri" w:eastAsia="Calibri" w:hAnsi="Calibri"/>
          <w:color w:val="24303D"/>
          <w:sz w:val="22"/>
          <w:szCs w:val="22"/>
        </w:rPr>
        <w:t xml:space="preserve">When a category is deactivated, its historical transactions do not become orphans. SP_REASSIGN_CATEGORY(old_id, new_id) validates both categories exist, reassigns every affected transaction and budget row, and logs the change — old category, new category, row counts, timestamp, and the user who ran it — to CATEGORY_REASSIGNMENT_LOG. A companion procedure, SP_AUTO_REASSIGN_INACTIVE_CATEGORIES(), runs this automatically for every category currently marked inactive, sweeping affected transactions to Uncategorized.</w:t>
      </w:r>
    </w:p>
    <w:p>
      <w:pPr>
        <w:pStyle w:val="Heading2"/>
        <w:spacing w:after="140" w:before="320"/>
      </w:pPr>
      <w:r>
        <w:rPr>
          <w:rFonts w:ascii="Cambria" w:cs="Cambria" w:eastAsia="Cambria" w:hAnsi="Cambria"/>
          <w:b/>
          <w:bCs/>
          <w:color w:val="14142B"/>
          <w:sz w:val="24"/>
          <w:szCs w:val="24"/>
        </w:rPr>
        <w:t xml:space="preserve">7.2  Budget alerts</w:t>
      </w:r>
    </w:p>
    <w:p>
      <w:pPr>
        <w:spacing w:after="160" w:line="300"/>
      </w:pPr>
      <w:r>
        <w:rPr>
          <w:rFonts w:ascii="Calibri" w:cs="Calibri" w:eastAsia="Calibri" w:hAnsi="Calibri"/>
          <w:color w:val="24303D"/>
          <w:sz w:val="22"/>
          <w:szCs w:val="22"/>
        </w:rPr>
        <w:t xml:space="preserve">SP_GENERATE_BUDGET_ALERTS() refreshes a dedicated FACT_BUDGET_ALERT table whenever a budget crosses 80% used (warn) or exceeds its limit (over). Stale alerts — where spend has since dropped back under threshold — are cleared automatically. Each alert carries a generated, human-readable message and an acknowledged flag so the dashboard can let a member dismiss it.</w:t>
      </w:r>
    </w:p>
    <w:p>
      <w:pPr>
        <w:pStyle w:val="Heading2"/>
        <w:spacing w:after="140" w:before="320"/>
      </w:pPr>
      <w:r>
        <w:rPr>
          <w:rFonts w:ascii="Cambria" w:cs="Cambria" w:eastAsia="Cambria" w:hAnsi="Cambria"/>
          <w:b/>
          <w:bCs/>
          <w:color w:val="14142B"/>
          <w:sz w:val="24"/>
          <w:szCs w:val="24"/>
        </w:rPr>
        <w:t xml:space="preserve">7.3  Severe-overspend flagging</w:t>
      </w:r>
    </w:p>
    <w:p>
      <w:pPr>
        <w:spacing w:after="160" w:line="300"/>
      </w:pPr>
      <w:r>
        <w:rPr>
          <w:rFonts w:ascii="Calibri" w:cs="Calibri" w:eastAsia="Calibri" w:hAnsi="Calibri"/>
          <w:color w:val="24303D"/>
          <w:sz w:val="22"/>
          <w:szCs w:val="22"/>
        </w:rPr>
        <w:t xml:space="preserve">A separate business-rule check flags any budget where actual spend exceeds 300% of its limit, logging it apart from ordinary “over budget” status — a signal intended to catch either a genuine financial emergency or a data-entry error worth a second look.</w:t>
      </w:r>
    </w:p>
    <w:p>
      <w:r>
        <w:br w:type="page"/>
      </w:r>
    </w:p>
    <w:p>
      <w:pPr>
        <w:pStyle w:val="Heading1"/>
        <w:pBdr>
          <w:bottom w:val="single" w:color="B4690E" w:sz="6" w:space="6"/>
        </w:pBdr>
        <w:spacing w:after="200" w:before="480"/>
      </w:pPr>
      <w:r>
        <w:rPr>
          <w:rFonts w:ascii="Cambria" w:cs="Cambria" w:eastAsia="Cambria" w:hAnsi="Cambria"/>
          <w:b/>
          <w:bCs/>
          <w:color w:val="14142B"/>
          <w:sz w:val="30"/>
          <w:szCs w:val="30"/>
        </w:rPr>
        <w:t xml:space="preserve">8.  Pipeline Orchestration</w:t>
      </w:r>
    </w:p>
    <w:p>
      <w:pPr>
        <w:pStyle w:val="Heading2"/>
        <w:spacing w:after="140" w:before="320"/>
      </w:pPr>
      <w:r>
        <w:rPr>
          <w:rFonts w:ascii="Cambria" w:cs="Cambria" w:eastAsia="Cambria" w:hAnsi="Cambria"/>
          <w:b/>
          <w:bCs/>
          <w:color w:val="14142B"/>
          <w:sz w:val="24"/>
          <w:szCs w:val="24"/>
        </w:rPr>
        <w:t xml:space="preserve">8.1  Streams: change data capture</w:t>
      </w:r>
    </w:p>
    <w:p>
      <w:pPr>
        <w:spacing w:after="160" w:line="300"/>
      </w:pPr>
      <w:r>
        <w:rPr>
          <w:rFonts w:ascii="Calibri" w:cs="Calibri" w:eastAsia="Calibri" w:hAnsi="Calibri"/>
          <w:color w:val="24303D"/>
          <w:sz w:val="22"/>
          <w:szCs w:val="22"/>
        </w:rPr>
        <w:t xml:space="preserve">A Stream on each source table tracks every row inserted since it was last read. Streams created with SHOW_INITIAL_ROWS = TRUE also capture whatever data already existed at creation time — used for the pipeline's initial backfill.</w:t>
      </w:r>
    </w:p>
    <w:p>
      <w:pPr>
        <w:pStyle w:val="Heading2"/>
        <w:spacing w:after="140" w:before="320"/>
      </w:pPr>
      <w:r>
        <w:rPr>
          <w:rFonts w:ascii="Cambria" w:cs="Cambria" w:eastAsia="Cambria" w:hAnsi="Cambria"/>
          <w:b/>
          <w:bCs/>
          <w:color w:val="14142B"/>
          <w:sz w:val="24"/>
          <w:szCs w:val="24"/>
        </w:rPr>
        <w:t xml:space="preserve">8.2  Tasks: scheduled, cost-aware execution</w:t>
      </w:r>
    </w:p>
    <w:p>
      <w:pPr>
        <w:spacing w:after="160" w:line="300"/>
      </w:pPr>
      <w:r>
        <w:rPr>
          <w:rFonts w:ascii="Calibri" w:cs="Calibri" w:eastAsia="Calibri" w:hAnsi="Calibri"/>
          <w:color w:val="24303D"/>
          <w:sz w:val="22"/>
          <w:szCs w:val="22"/>
        </w:rPr>
        <w:t xml:space="preserve">Each Task is gated with WHEN SYSTEM$STREAM_HAS_DATA(...) — if its stream is empty, the task consumes zero compute, even though it still checks on schedule. Tasks chain together with AFTER dependencies (all tasks that chain must share one schema, a Snowflake platform constraint) so the whole pipeline runs unattended: Snowpipe load → Stage cleaning → Mart loading → alerts → insight generation.</w:t>
      </w:r>
    </w:p>
    <w:tbl>
      <w:tblPr>
        <w:tblW w:type="pct" w:w="100%"/>
        <w:tblBorders>
          <w:top w:val="single" w:color="1E1D3F" w:sz="2"/>
          <w:left w:val="single" w:color="1E1D3F" w:sz="2"/>
          <w:bottom w:val="single" w:color="1E1D3F" w:sz="2"/>
          <w:right w:val="single" w:color="1E1D3F" w:sz="2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14142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4E8EC"/>
                <w:sz w:val="18"/>
                <w:szCs w:val="18"/>
              </w:rPr>
              <w:t xml:space="preserve">CREATE TASK TSK_CLEAN_USER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4E8EC"/>
                <w:sz w:val="18"/>
                <w:szCs w:val="18"/>
              </w:rPr>
              <w:t xml:space="preserve">  WAREHOUSE = COMPUTE_WH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4E8EC"/>
                <w:sz w:val="18"/>
                <w:szCs w:val="18"/>
              </w:rPr>
              <w:t xml:space="preserve">  AFTER TSK_CLEAN_CATEGORY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4E8EC"/>
                <w:sz w:val="18"/>
                <w:szCs w:val="18"/>
              </w:rPr>
              <w:t xml:space="preserve">  WHEN SYSTEM$STREAM_HAS_DATA('STRM_RAW_USER')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4E8EC"/>
                <w:sz w:val="18"/>
                <w:szCs w:val="18"/>
              </w:rPr>
              <w:t xml:space="preserve">AS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4E8EC"/>
                <w:sz w:val="18"/>
                <w:szCs w:val="18"/>
              </w:rPr>
              <w:t xml:space="preserve">  CALL SP_CLEAN_USER();</w:t>
            </w:r>
          </w:p>
        </w:tc>
      </w:tr>
    </w:tbl>
    <w:p>
      <w:pPr>
        <w:pStyle w:val="Heading2"/>
        <w:spacing w:after="140" w:before="320"/>
      </w:pPr>
      <w:r>
        <w:rPr>
          <w:rFonts w:ascii="Cambria" w:cs="Cambria" w:eastAsia="Cambria" w:hAnsi="Cambria"/>
          <w:b/>
          <w:bCs/>
          <w:color w:val="14142B"/>
          <w:sz w:val="24"/>
          <w:szCs w:val="24"/>
        </w:rPr>
        <w:t xml:space="preserve">8.3  On-demand execution</w:t>
      </w:r>
    </w:p>
    <w:p>
      <w:pPr>
        <w:spacing w:after="160" w:line="300"/>
      </w:pPr>
      <w:r>
        <w:rPr>
          <w:rFonts w:ascii="Calibri" w:cs="Calibri" w:eastAsia="Calibri" w:hAnsi="Calibri"/>
          <w:color w:val="24303D"/>
          <w:sz w:val="22"/>
          <w:szCs w:val="22"/>
        </w:rPr>
        <w:t xml:space="preserve">A single procedure, SP_RUN_FULL_PIPELINE(), calls every cleaning and loading procedure synchronously in the correct order. This exists for genuinely instant runs — useful for demos or right after a manual data upload — without waiting on the shortest Task schedule interval Snowflake allows (one minute).</w:t>
      </w:r>
    </w:p>
    <w:p>
      <w:pPr>
        <w:pStyle w:val="Heading2"/>
        <w:spacing w:after="140" w:before="320"/>
      </w:pPr>
      <w:r>
        <w:rPr>
          <w:rFonts w:ascii="Cambria" w:cs="Cambria" w:eastAsia="Cambria" w:hAnsi="Cambria"/>
          <w:b/>
          <w:bCs/>
          <w:color w:val="14142B"/>
          <w:sz w:val="24"/>
          <w:szCs w:val="24"/>
        </w:rPr>
        <w:t xml:space="preserve">8.4  Data-quality checks, inline</w:t>
      </w:r>
    </w:p>
    <w:p>
      <w:pPr>
        <w:spacing w:after="160" w:line="300"/>
      </w:pPr>
      <w:r>
        <w:rPr>
          <w:rFonts w:ascii="Calibri" w:cs="Calibri" w:eastAsia="Calibri" w:hAnsi="Calibri"/>
          <w:color w:val="24303D"/>
          <w:sz w:val="22"/>
          <w:szCs w:val="22"/>
        </w:rPr>
        <w:t xml:space="preserve">Selected load procedures run an additional check beyond basic reconciliation — for example, confirming zero transactions reference a dimension row that failed to load — and log the result (pass or fail, with a row count) for troubleshooting on every run.</w:t>
      </w:r>
    </w:p>
    <w:p>
      <w:r>
        <w:br w:type="page"/>
      </w:r>
    </w:p>
    <w:p>
      <w:pPr>
        <w:pStyle w:val="Heading1"/>
        <w:pBdr>
          <w:bottom w:val="single" w:color="B4690E" w:sz="6" w:space="6"/>
        </w:pBdr>
        <w:spacing w:after="200" w:before="480"/>
      </w:pPr>
      <w:r>
        <w:rPr>
          <w:rFonts w:ascii="Cambria" w:cs="Cambria" w:eastAsia="Cambria" w:hAnsi="Cambria"/>
          <w:b/>
          <w:bCs/>
          <w:color w:val="14142B"/>
          <w:sz w:val="30"/>
          <w:szCs w:val="30"/>
        </w:rPr>
        <w:t xml:space="preserve">9.  Security &amp; Governance</w:t>
      </w:r>
    </w:p>
    <w:p>
      <w:pPr>
        <w:spacing w:after="160" w:line="300"/>
      </w:pPr>
      <w:r>
        <w:rPr>
          <w:rFonts w:ascii="Calibri" w:cs="Calibri" w:eastAsia="Calibri" w:hAnsi="Calibri"/>
          <w:color w:val="24303D"/>
          <w:sz w:val="22"/>
          <w:szCs w:val="22"/>
        </w:rPr>
        <w:t xml:space="preserve">Every pipeline object — tables, views, streams, tasks, pipes, and stages, across every pipeline schema — is owned by one dedicated role, WEALTHWIZARD_ETL, rather than being scattered across ad-hoc account-admin access.</w:t>
      </w:r>
    </w:p>
    <w:p>
      <w:pPr>
        <w:pStyle w:val="Heading2"/>
        <w:spacing w:after="140" w:before="320"/>
      </w:pPr>
      <w:r>
        <w:rPr>
          <w:rFonts w:ascii="Cambria" w:cs="Cambria" w:eastAsia="Cambria" w:hAnsi="Cambria"/>
          <w:b/>
          <w:bCs/>
          <w:color w:val="14142B"/>
          <w:sz w:val="24"/>
          <w:szCs w:val="24"/>
        </w:rPr>
        <w:t xml:space="preserve">9.1  Privilege model</w:t>
      </w:r>
    </w:p>
    <w:tbl>
      <w:tblPr>
        <w:tblW w:type="dxa" w:w="9360"/>
        <w:tblBorders>
          <w:top w:val="single" w:color="DED6EC" w:sz="2"/>
          <w:left w:val="single" w:color="DED6EC" w:sz="2"/>
          <w:bottom w:val="single" w:color="DED6EC" w:sz="2"/>
          <w:right w:val="single" w:color="DED6EC" w:sz="2"/>
          <w:insideH w:val="single" w:color="DED6EC" w:sz="2"/>
          <w:insideV w:val="single" w:color="DED6EC" w:sz="2"/>
        </w:tblBorders>
      </w:tblPr>
      <w:tblGrid>
        <w:gridCol w:w="2600"/>
        <w:gridCol w:w="2400"/>
        <w:gridCol w:w="4360"/>
      </w:tblGrid>
      <w:tr>
        <w:trPr>
          <w:tblHeader/>
        </w:trPr>
        <w:tc>
          <w:tcPr>
            <w:tcW w:type="dxa" w:w="260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Grant</w:t>
            </w:r>
          </w:p>
        </w:tc>
        <w:tc>
          <w:tcPr>
            <w:tcW w:type="dxa" w:w="240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Scope</w:t>
            </w:r>
          </w:p>
        </w:tc>
        <w:tc>
          <w:tcPr>
            <w:tcW w:type="dxa" w:w="436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Why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SELECT / INSERT / UPDATE / DELETE</w:t>
            </w:r>
          </w:p>
        </w:tc>
        <w:tc>
          <w:tcPr>
            <w:tcW w:type="dxa" w:w="2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All tables, current and future</w:t>
            </w:r>
          </w:p>
        </w:tc>
        <w:tc>
          <w:tcPr>
            <w:tcW w:type="dxa" w:w="43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Standard read/write for pipeline operations</w:t>
            </w:r>
          </w:p>
        </w:tc>
      </w:tr>
      <w:tr>
        <w:tc>
          <w:tcPr>
            <w:tcW w:type="dxa" w:w="26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USAGE</w:t>
            </w:r>
          </w:p>
        </w:tc>
        <w:tc>
          <w:tcPr>
            <w:tcW w:type="dxa" w:w="24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Every schema, explicitly</w:t>
            </w:r>
          </w:p>
        </w:tc>
        <w:tc>
          <w:tcPr>
            <w:tcW w:type="dxa" w:w="436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Schema-level access is never implied by database-level access alone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OPERATE + MONITOR</w:t>
            </w:r>
          </w:p>
        </w:tc>
        <w:tc>
          <w:tcPr>
            <w:tcW w:type="dxa" w:w="2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All pipes</w:t>
            </w:r>
          </w:p>
        </w:tc>
        <w:tc>
          <w:tcPr>
            <w:tcW w:type="dxa" w:w="43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Lets the role pause/resume ingestion and check live status</w:t>
            </w:r>
          </w:p>
        </w:tc>
      </w:tr>
      <w:tr>
        <w:tc>
          <w:tcPr>
            <w:tcW w:type="dxa" w:w="26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EXECUTE TASK</w:t>
            </w:r>
          </w:p>
        </w:tc>
        <w:tc>
          <w:tcPr>
            <w:tcW w:type="dxa" w:w="24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Account level</w:t>
            </w:r>
          </w:p>
        </w:tc>
        <w:tc>
          <w:tcPr>
            <w:tcW w:type="dxa" w:w="436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A non-ACCOUNTADMIN role that owns tasks must be granted this explicitly, or every scheduled run fails silently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CREATE VIEW / TABLE / PROCEDURE</w:t>
            </w:r>
          </w:p>
        </w:tc>
        <w:tc>
          <w:tcPr>
            <w:tcW w:type="dxa" w:w="2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Per schema</w:t>
            </w:r>
          </w:p>
        </w:tc>
        <w:tc>
          <w:tcPr>
            <w:tcW w:type="dxa" w:w="43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Required separately from usage — reading and creating are different privileges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mbria" w:cs="Cambria" w:eastAsia="Cambria" w:hAnsi="Cambria"/>
          <w:b/>
          <w:bCs/>
          <w:color w:val="14142B"/>
          <w:sz w:val="24"/>
          <w:szCs w:val="24"/>
        </w:rPr>
        <w:t xml:space="preserve">9.2  Access boundaries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Calibri" w:cs="Calibri" w:eastAsia="Calibri" w:hAnsi="Calibri"/>
          <w:color w:val="24303D"/>
          <w:sz w:val="21"/>
          <w:szCs w:val="21"/>
        </w:rPr>
        <w:t xml:space="preserve">RAW and STAGE schemas are pipeline-internal — no dashboard access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Calibri" w:cs="Calibri" w:eastAsia="Calibri" w:hAnsi="Calibri"/>
          <w:color w:val="24303D"/>
          <w:sz w:val="21"/>
          <w:szCs w:val="21"/>
        </w:rPr>
        <w:t xml:space="preserve">MART and ANALYTICS are the only schemas the application layer queries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Calibri" w:cs="Calibri" w:eastAsia="Calibri" w:hAnsi="Calibri"/>
          <w:color w:val="24303D"/>
          <w:sz w:val="21"/>
          <w:szCs w:val="21"/>
        </w:rPr>
        <w:t xml:space="preserve">A separate read-only role is defined for anything that only ever needs to read the mart/analytics layers (e.g. a future BI tool), with zero access to raw or stage data</w:t>
      </w:r>
    </w:p>
    <w:p>
      <w:r>
        <w:br w:type="page"/>
      </w:r>
    </w:p>
    <w:p>
      <w:pPr>
        <w:pStyle w:val="Heading1"/>
        <w:pBdr>
          <w:bottom w:val="single" w:color="B4690E" w:sz="6" w:space="6"/>
        </w:pBdr>
        <w:spacing w:after="200" w:before="480"/>
      </w:pPr>
      <w:r>
        <w:rPr>
          <w:rFonts w:ascii="Cambria" w:cs="Cambria" w:eastAsia="Cambria" w:hAnsi="Cambria"/>
          <w:b/>
          <w:bCs/>
          <w:color w:val="14142B"/>
          <w:sz w:val="30"/>
          <w:szCs w:val="30"/>
        </w:rPr>
        <w:t xml:space="preserve">10.  Data Quality Findings</w:t>
      </w:r>
    </w:p>
    <w:p>
      <w:pPr>
        <w:spacing w:after="160" w:line="300"/>
      </w:pPr>
      <w:r>
        <w:rPr>
          <w:rFonts w:ascii="Calibri" w:cs="Calibri" w:eastAsia="Calibri" w:hAnsi="Calibri"/>
          <w:color w:val="24303D"/>
          <w:sz w:val="22"/>
          <w:szCs w:val="22"/>
        </w:rPr>
        <w:t xml:space="preserve">The findings below were surfaced directly by the Streamlit dashboard while building out its pages, and are documented here for traceability between the application layer and the mart.</w:t>
      </w:r>
    </w:p>
    <w:tbl>
      <w:tblPr>
        <w:tblW w:type="dxa" w:w="9360"/>
        <w:tblBorders>
          <w:top w:val="single" w:color="DED6EC" w:sz="2"/>
          <w:left w:val="single" w:color="DED6EC" w:sz="2"/>
          <w:bottom w:val="single" w:color="DED6EC" w:sz="2"/>
          <w:right w:val="single" w:color="DED6EC" w:sz="2"/>
          <w:insideH w:val="single" w:color="DED6EC" w:sz="2"/>
          <w:insideV w:val="single" w:color="DED6EC" w:sz="2"/>
        </w:tblBorders>
      </w:tblPr>
      <w:tblGrid>
        <w:gridCol w:w="2200"/>
        <w:gridCol w:w="3600"/>
        <w:gridCol w:w="3560"/>
      </w:tblGrid>
      <w:tr>
        <w:trPr>
          <w:tblHeader/>
        </w:trPr>
        <w:tc>
          <w:tcPr>
            <w:tcW w:type="dxa" w:w="220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tcW w:type="dxa" w:w="360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Evidence</w:t>
            </w:r>
          </w:p>
        </w:tc>
        <w:tc>
          <w:tcPr>
            <w:tcW w:type="dxa" w:w="356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Resolution</w:t>
            </w:r>
          </w:p>
        </w:tc>
      </w:tr>
      <w:tr>
        <w:tc>
          <w:tcPr>
            <w:tcW w:type="dxa" w:w="2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Placeholder insights</w:t>
            </w:r>
          </w:p>
        </w:tc>
        <w:tc>
          <w:tcPr>
            <w:tcW w:type="dxa" w:w="3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10,102 FACT_INSIGHT rows carry NULL severity and Faker-generated placeholder sentences, left over from the original raw synthetic load</w:t>
            </w:r>
          </w:p>
        </w:tc>
        <w:tc>
          <w:tcPr>
            <w:tcW w:type="dxa" w:w="35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Dashboard queries now filter WHERE severity IS NOT NULL; the Insights page shows ungraded rows honestly rather than hiding them</w:t>
            </w:r>
          </w:p>
        </w:tc>
      </w:tr>
      <w:tr>
        <w:tc>
          <w:tcPr>
            <w:tcW w:type="dxa" w:w="22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Stale budget spend</w:t>
            </w:r>
          </w:p>
        </w:tc>
        <w:tc>
          <w:tcPr>
            <w:tcW w:type="dxa" w:w="36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FACT_BUDGET.ACTUAL_SPEND reports ₹0 on 6,163 of 6,170 rows</w:t>
            </w:r>
          </w:p>
        </w:tc>
        <w:tc>
          <w:tcPr>
            <w:tcW w:type="dxa" w:w="356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The Budgets page recomputes spend live from FACT_TRANSACTION rather than trusting the stored column; source-level fix planned</w:t>
            </w:r>
          </w:p>
        </w:tc>
      </w:tr>
      <w:tr>
        <w:tc>
          <w:tcPr>
            <w:tcW w:type="dxa" w:w="2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Unreliable budget period</w:t>
            </w:r>
          </w:p>
        </w:tc>
        <w:tc>
          <w:tcPr>
            <w:tcW w:type="dxa" w:w="3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FACT_BUDGET.PERIOD_DATE_KEY resolves to a valid date on only 501 of 6,170 rows; the rest default to 1970-01-01</w:t>
            </w:r>
          </w:p>
        </w:tc>
        <w:tc>
          <w:tcPr>
            <w:tcW w:type="dxa" w:w="35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Flagged for a source-level fix in SP_LOAD_FACT_BUDGET; the dashboard marks these rows “period unreadable” rather than showing a wrong date</w:t>
            </w:r>
          </w:p>
        </w:tc>
      </w:tr>
      <w:tr>
        <w:tc>
          <w:tcPr>
            <w:tcW w:type="dxa" w:w="22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No income figure exists</w:t>
            </w:r>
          </w:p>
        </w:tc>
        <w:tc>
          <w:tcPr>
            <w:tcW w:type="dxa" w:w="36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FACT_TRANSACTION.TXN_TYPE reads ‘expense’ on all 78,155 rows</w:t>
            </w:r>
          </w:p>
        </w:tc>
        <w:tc>
          <w:tcPr>
            <w:tcW w:type="dxa" w:w="356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The dashboard and its Gemini assistant are both told explicitly: no income or net-savings figure exists in this mart, so neither is ever presented</w:t>
            </w:r>
          </w:p>
        </w:tc>
      </w:tr>
      <w:tr>
        <w:tc>
          <w:tcPr>
            <w:tcW w:type="dxa" w:w="2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Unqualified schema reference</w:t>
            </w:r>
          </w:p>
        </w:tc>
        <w:tc>
          <w:tcPr>
            <w:tcW w:type="dxa" w:w="3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One query resolved against the wrong default schema, failing 100% of the time</w:t>
            </w:r>
          </w:p>
        </w:tc>
        <w:tc>
          <w:tcPr>
            <w:tcW w:type="dxa" w:w="35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Every query in the codebase fully schema-qualified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4690E" w:sz="6" w:space="6"/>
        </w:pBdr>
        <w:spacing w:after="200" w:before="480"/>
      </w:pPr>
      <w:r>
        <w:rPr>
          <w:rFonts w:ascii="Cambria" w:cs="Cambria" w:eastAsia="Cambria" w:hAnsi="Cambria"/>
          <w:b/>
          <w:bCs/>
          <w:color w:val="14142B"/>
          <w:sz w:val="30"/>
          <w:szCs w:val="30"/>
        </w:rPr>
        <w:t xml:space="preserve">11.  Application Layer</w:t>
      </w:r>
    </w:p>
    <w:p>
      <w:pPr>
        <w:spacing w:after="160" w:line="300"/>
      </w:pPr>
      <w:r>
        <w:rPr>
          <w:rFonts w:ascii="Calibri" w:cs="Calibri" w:eastAsia="Calibri" w:hAnsi="Calibri"/>
          <w:color w:val="24303D"/>
          <w:sz w:val="22"/>
          <w:szCs w:val="22"/>
        </w:rPr>
        <w:t xml:space="preserve">The dashboard is a single native Streamlit application — there is no separate API tier. It authenticates a member, holds one Snowflake connection for the session, and every page reads the MART and ANALYTICS schemas directly through the Snowflake Python connector.</w:t>
      </w:r>
    </w:p>
    <w:p>
      <w:pPr>
        <w:pStyle w:val="Heading2"/>
        <w:spacing w:after="140" w:before="320"/>
      </w:pPr>
      <w:r>
        <w:rPr>
          <w:rFonts w:ascii="Cambria" w:cs="Cambria" w:eastAsia="Cambria" w:hAnsi="Cambria"/>
          <w:b/>
          <w:bCs/>
          <w:color w:val="14142B"/>
          <w:sz w:val="24"/>
          <w:szCs w:val="24"/>
        </w:rPr>
        <w:t xml:space="preserve">11.1  Sign-in</w:t>
      </w:r>
    </w:p>
    <w:p>
      <w:pPr>
        <w:spacing w:after="160" w:line="300"/>
      </w:pPr>
      <w:r>
        <w:rPr>
          <w:rFonts w:ascii="Calibri" w:cs="Calibri" w:eastAsia="Calibri" w:hAnsi="Calibri"/>
          <w:color w:val="24303D"/>
          <w:sz w:val="22"/>
          <w:szCs w:val="22"/>
        </w:rPr>
        <w:t xml:space="preserve">A member opens their own account by entering a member id (formatted like U000862); there is no password in DIM_USER. This identifies which figures to display, it does not authenticate — the sign-in screen says so plainly. A member who does not know their id can search by name or email instead.</w:t>
      </w:r>
    </w:p>
    <w:p>
      <w:pPr>
        <w:pStyle w:val="Heading2"/>
        <w:spacing w:after="140" w:before="320"/>
      </w:pPr>
      <w:r>
        <w:rPr>
          <w:rFonts w:ascii="Cambria" w:cs="Cambria" w:eastAsia="Cambria" w:hAnsi="Cambria"/>
          <w:b/>
          <w:bCs/>
          <w:color w:val="14142B"/>
          <w:sz w:val="24"/>
          <w:szCs w:val="24"/>
        </w:rPr>
        <w:t xml:space="preserve">11.2  Pages</w:t>
      </w:r>
    </w:p>
    <w:tbl>
      <w:tblPr>
        <w:tblW w:type="dxa" w:w="9360"/>
        <w:tblBorders>
          <w:top w:val="single" w:color="DED6EC" w:sz="2"/>
          <w:left w:val="single" w:color="DED6EC" w:sz="2"/>
          <w:bottom w:val="single" w:color="DED6EC" w:sz="2"/>
          <w:right w:val="single" w:color="DED6EC" w:sz="2"/>
          <w:insideH w:val="single" w:color="DED6EC" w:sz="2"/>
          <w:insideV w:val="single" w:color="DED6EC" w:sz="2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Page</w:t>
            </w:r>
          </w:p>
        </w:tc>
        <w:tc>
          <w:tcPr>
            <w:tcW w:type="dxa" w:w="696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shows</w:t>
            </w:r>
          </w:p>
        </w:tc>
      </w:tr>
      <w:tr>
        <w:tc>
          <w:tcPr>
            <w:tcW w:type="dxa" w:w="2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Overview</w:t>
            </w:r>
          </w:p>
        </w:tc>
        <w:tc>
          <w:tcPr>
            <w:tcW w:type="dxa" w:w="69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Lifetime total, the selected month's figures, a category breakdown, a monthly trend, and the ten largest transactions</w:t>
            </w:r>
          </w:p>
        </w:tc>
      </w:tr>
      <w:tr>
        <w:tc>
          <w:tcPr>
            <w:tcW w:type="dxa" w:w="24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Transactions</w:t>
            </w:r>
          </w:p>
        </w:tc>
        <w:tc>
          <w:tcPr>
            <w:tcW w:type="dxa" w:w="696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The full ledger, filterable by category and free-text search, scoped by the sidebar's Month / Year / Date Range picker</w:t>
            </w:r>
          </w:p>
        </w:tc>
      </w:tr>
      <w:tr>
        <w:tc>
          <w:tcPr>
            <w:tcW w:type="dxa" w:w="2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Categories</w:t>
            </w:r>
          </w:p>
        </w:tc>
        <w:tc>
          <w:tcPr>
            <w:tcW w:type="dxa" w:w="69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Lifetime vs. selected-month spend by category, side by side, with a CSV export</w:t>
            </w:r>
          </w:p>
        </w:tc>
      </w:tr>
      <w:tr>
        <w:tc>
          <w:tcPr>
            <w:tcW w:type="dxa" w:w="24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Budgets</w:t>
            </w:r>
          </w:p>
        </w:tc>
        <w:tc>
          <w:tcPr>
            <w:tcW w:type="dxa" w:w="696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Every budget envelope, utilisation recomputed live, and any alerts raised when a limit was exceeded</w:t>
            </w:r>
          </w:p>
        </w:tc>
      </w:tr>
      <w:tr>
        <w:tc>
          <w:tcPr>
            <w:tcW w:type="dxa" w:w="2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Insights</w:t>
            </w:r>
          </w:p>
        </w:tc>
        <w:tc>
          <w:tcPr>
            <w:tcW w:type="dxa" w:w="69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Everything the mart and the analytics layer flagged, filterable by kind and by severity</w:t>
            </w:r>
          </w:p>
        </w:tc>
      </w:tr>
      <w:tr>
        <w:tc>
          <w:tcPr>
            <w:tcW w:type="dxa" w:w="24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Ask (Assistant)</w:t>
            </w:r>
          </w:p>
        </w:tc>
        <w:tc>
          <w:tcPr>
            <w:tcW w:type="dxa" w:w="696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A Gemini-powered chat that answers questions about the signed-in member's own data, or general questions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mbria" w:cs="Cambria" w:eastAsia="Cambria" w:hAnsi="Cambria"/>
          <w:b/>
          <w:bCs/>
          <w:color w:val="14142B"/>
          <w:sz w:val="24"/>
          <w:szCs w:val="24"/>
        </w:rPr>
        <w:t xml:space="preserve">11.3  The Ask assistant</w:t>
      </w:r>
    </w:p>
    <w:p>
      <w:pPr>
        <w:spacing w:after="160" w:line="300"/>
      </w:pPr>
      <w:r>
        <w:rPr>
          <w:rFonts w:ascii="Calibri" w:cs="Calibri" w:eastAsia="Calibri" w:hAnsi="Calibri"/>
          <w:color w:val="24303D"/>
          <w:sz w:val="22"/>
          <w:szCs w:val="22"/>
        </w:rPr>
        <w:t xml:space="preserve">Gemini first decides whether a question needs the member's own records or is a general question it can answer directly. When it needs data, Gemini proposes exactly one read-only SELECT; the application then guards that statement before running it: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Calibri" w:cs="Calibri" w:eastAsia="Calibri" w:hAnsi="Calibri"/>
          <w:color w:val="24303D"/>
          <w:sz w:val="21"/>
          <w:szCs w:val="21"/>
        </w:rPr>
        <w:t xml:space="preserve">Only a single SELECT or WITH statement is accepted — anything else is refused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Calibri" w:cs="Calibri" w:eastAsia="Calibri" w:hAnsi="Calibri"/>
          <w:color w:val="24303D"/>
          <w:sz w:val="21"/>
          <w:szCs w:val="21"/>
        </w:rPr>
        <w:t xml:space="preserve">Every table reference must be fully qualified against the WEALTH_WIZARD database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Calibri" w:cs="Calibri" w:eastAsia="Calibri" w:hAnsi="Calibri"/>
          <w:color w:val="24303D"/>
          <w:sz w:val="21"/>
          <w:szCs w:val="21"/>
        </w:rPr>
        <w:t xml:space="preserve">The statement must filter to the signed-in member's own USER_ID, or it is refused rather than silently returning another member's rows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Calibri" w:cs="Calibri" w:eastAsia="Calibri" w:hAnsi="Calibri"/>
          <w:color w:val="24303D"/>
          <w:sz w:val="21"/>
          <w:szCs w:val="21"/>
        </w:rPr>
        <w:t xml:space="preserve">The rows that come back are handed to Gemini to summarise in plain language; the SQL that actually ran is shown alongside the answer for transparency</w:t>
      </w:r>
    </w:p>
    <w:p>
      <w:pPr>
        <w:spacing w:after="120"/>
      </w:pPr>
    </w:p>
    <w:p>
      <w:pPr>
        <w:spacing w:after="160" w:line="300"/>
      </w:pPr>
      <w:r>
        <w:rPr>
          <w:rFonts w:ascii="Calibri" w:cs="Calibri" w:eastAsia="Calibri" w:hAnsi="Calibri"/>
          <w:color w:val="24303D"/>
          <w:sz w:val="22"/>
          <w:szCs w:val="22"/>
        </w:rPr>
        <w:t xml:space="preserve">The Gemini API key is held in a Snowflake secret (or a local secrets file for development) and is never hard-coded; the underlying model name is deliberately never surfaced in the interface. On a Snowflake trial account this page cannot reach the Gemini API at all, since outbound calls need an external access integration that trial accounts cannot create — every other page works without it.</w:t>
      </w:r>
    </w:p>
    <w:p>
      <w:pPr>
        <w:pStyle w:val="Heading2"/>
        <w:spacing w:after="140" w:before="320"/>
      </w:pPr>
      <w:r>
        <w:rPr>
          <w:rFonts w:ascii="Cambria" w:cs="Cambria" w:eastAsia="Cambria" w:hAnsi="Cambria"/>
          <w:b/>
          <w:bCs/>
          <w:color w:val="14142B"/>
          <w:sz w:val="24"/>
          <w:szCs w:val="24"/>
        </w:rPr>
        <w:t xml:space="preserve">11.4  Design language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Calibri" w:cs="Calibri" w:eastAsia="Calibri" w:hAnsi="Calibri"/>
          <w:color w:val="24303D"/>
          <w:sz w:val="21"/>
          <w:szCs w:val="21"/>
        </w:rPr>
        <w:t xml:space="preserve">Headline totals render as animated split-flap digits, styled after an airport departure board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Calibri" w:cs="Calibri" w:eastAsia="Calibri" w:hAnsi="Calibri"/>
          <w:color w:val="24303D"/>
          <w:sz w:val="21"/>
          <w:szCs w:val="21"/>
        </w:rPr>
        <w:t xml:space="preserve">Every donut and column chart is hand-drawn inline SVG — no charting library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Calibri" w:cs="Calibri" w:eastAsia="Calibri" w:hAnsi="Calibri"/>
          <w:color w:val="24303D"/>
          <w:sz w:val="21"/>
          <w:szCs w:val="21"/>
        </w:rPr>
        <w:t xml:space="preserve">The colour palette is drawn from Indian banknote printing: saffron, lavender, cyan, magenta, and a greenish-yellow, giving every category a distinct hue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Calibri" w:cs="Calibri" w:eastAsia="Calibri" w:hAnsi="Calibri"/>
          <w:color w:val="24303D"/>
          <w:sz w:val="21"/>
          <w:szCs w:val="21"/>
        </w:rPr>
        <w:t xml:space="preserve">A full light/dark mode toggle is available from the sidebar or the sign-in screen, driven entirely by CSS custom properties</w:t>
      </w:r>
    </w:p>
    <w:p>
      <w:r>
        <w:br w:type="page"/>
      </w:r>
    </w:p>
    <w:p>
      <w:pPr>
        <w:pStyle w:val="Heading1"/>
        <w:pBdr>
          <w:bottom w:val="single" w:color="B4690E" w:sz="6" w:space="6"/>
        </w:pBdr>
        <w:spacing w:after="200" w:before="480"/>
      </w:pPr>
      <w:r>
        <w:rPr>
          <w:rFonts w:ascii="Cambria" w:cs="Cambria" w:eastAsia="Cambria" w:hAnsi="Cambria"/>
          <w:b/>
          <w:bCs/>
          <w:color w:val="14142B"/>
          <w:sz w:val="30"/>
          <w:szCs w:val="30"/>
        </w:rPr>
        <w:t xml:space="preserve">Appendix A — Full Table Reference</w:t>
      </w:r>
    </w:p>
    <w:p>
      <w:pPr>
        <w:pStyle w:val="Heading2"/>
        <w:spacing w:after="140" w:before="320"/>
      </w:pPr>
      <w:r>
        <w:rPr>
          <w:rFonts w:ascii="Cambria" w:cs="Cambria" w:eastAsia="Cambria" w:hAnsi="Cambria"/>
          <w:b/>
          <w:bCs/>
          <w:color w:val="14142B"/>
          <w:sz w:val="24"/>
          <w:szCs w:val="24"/>
        </w:rPr>
        <w:t xml:space="preserve">Mart layer</w:t>
      </w:r>
    </w:p>
    <w:tbl>
      <w:tblPr>
        <w:tblW w:type="dxa" w:w="9360"/>
        <w:tblBorders>
          <w:top w:val="single" w:color="DED6EC" w:sz="2"/>
          <w:left w:val="single" w:color="DED6EC" w:sz="2"/>
          <w:bottom w:val="single" w:color="DED6EC" w:sz="2"/>
          <w:right w:val="single" w:color="DED6EC" w:sz="2"/>
          <w:insideH w:val="single" w:color="DED6EC" w:sz="2"/>
          <w:insideV w:val="single" w:color="DED6EC" w:sz="2"/>
        </w:tblBorders>
      </w:tblPr>
      <w:tblGrid>
        <w:gridCol w:w="2600"/>
        <w:gridCol w:w="1400"/>
        <w:gridCol w:w="5360"/>
      </w:tblGrid>
      <w:tr>
        <w:trPr>
          <w:tblHeader/>
        </w:trPr>
        <w:tc>
          <w:tcPr>
            <w:tcW w:type="dxa" w:w="260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Table</w:t>
            </w:r>
          </w:p>
        </w:tc>
        <w:tc>
          <w:tcPr>
            <w:tcW w:type="dxa" w:w="140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5360"/>
            <w:shd w:fill="14142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Key columns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DIM_USER</w:t>
            </w:r>
          </w:p>
        </w:tc>
        <w:tc>
          <w:tcPr>
            <w:tcW w:type="dxa" w:w="1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Dimension</w:t>
            </w:r>
          </w:p>
        </w:tc>
        <w:tc>
          <w:tcPr>
            <w:tcW w:type="dxa" w:w="53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user_key (PK), user_id, name, email, signup_date</w:t>
            </w:r>
          </w:p>
        </w:tc>
      </w:tr>
      <w:tr>
        <w:tc>
          <w:tcPr>
            <w:tcW w:type="dxa" w:w="26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DIM_CATEGORY</w:t>
            </w:r>
          </w:p>
        </w:tc>
        <w:tc>
          <w:tcPr>
            <w:tcW w:type="dxa" w:w="14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Dimension</w:t>
            </w:r>
          </w:p>
        </w:tc>
        <w:tc>
          <w:tcPr>
            <w:tcW w:type="dxa" w:w="536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category_key (PK), category_id, name, active_flag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DIM_DATE</w:t>
            </w:r>
          </w:p>
        </w:tc>
        <w:tc>
          <w:tcPr>
            <w:tcW w:type="dxa" w:w="1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Dimension</w:t>
            </w:r>
          </w:p>
        </w:tc>
        <w:tc>
          <w:tcPr>
            <w:tcW w:type="dxa" w:w="53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date_key (PK), full_date, day, month, quarter, year</w:t>
            </w:r>
          </w:p>
        </w:tc>
      </w:tr>
      <w:tr>
        <w:tc>
          <w:tcPr>
            <w:tcW w:type="dxa" w:w="26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FACT_TRANSACTION</w:t>
            </w:r>
          </w:p>
        </w:tc>
        <w:tc>
          <w:tcPr>
            <w:tcW w:type="dxa" w:w="14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Fact</w:t>
            </w:r>
          </w:p>
        </w:tc>
        <w:tc>
          <w:tcPr>
            <w:tcW w:type="dxa" w:w="536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txn_key (PK), user_key, category_key, date_key, amount, txn_type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FACT_BUDGET</w:t>
            </w:r>
          </w:p>
        </w:tc>
        <w:tc>
          <w:tcPr>
            <w:tcW w:type="dxa" w:w="1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Fact</w:t>
            </w:r>
          </w:p>
        </w:tc>
        <w:tc>
          <w:tcPr>
            <w:tcW w:type="dxa" w:w="53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budget_key (PK), user_key, category_key, limit_amount, actual_spend, status</w:t>
            </w:r>
          </w:p>
        </w:tc>
      </w:tr>
      <w:tr>
        <w:tc>
          <w:tcPr>
            <w:tcW w:type="dxa" w:w="26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FACT_INSIGHT</w:t>
            </w:r>
          </w:p>
        </w:tc>
        <w:tc>
          <w:tcPr>
            <w:tcW w:type="dxa" w:w="140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Fact</w:t>
            </w:r>
          </w:p>
        </w:tc>
        <w:tc>
          <w:tcPr>
            <w:tcW w:type="dxa" w:w="5360"/>
            <w:shd w:fill="F4F1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insight_key (PK), user_key, txn_key, insight_type, severity, description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FACT_BUDGET_ALERT</w:t>
            </w:r>
          </w:p>
        </w:tc>
        <w:tc>
          <w:tcPr>
            <w:tcW w:type="dxa" w:w="14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Fact</w:t>
            </w:r>
          </w:p>
        </w:tc>
        <w:tc>
          <w:tcPr>
            <w:tcW w:type="dxa" w:w="53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4303D"/>
                <w:sz w:val="19"/>
                <w:szCs w:val="19"/>
              </w:rPr>
              <w:t xml:space="preserve">alert_key (PK), budget_key, alert_type, message, acknowledged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5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B5570"/>
        <w:sz w:val="16"/>
        <w:szCs w:val="16"/>
      </w:rPr>
      <w:t xml:space="preserve">WealthWizard · Database Documentation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2026-08-27T06:56:48.578Z</dcterms:created>
  <dcterms:modified xsi:type="dcterms:W3CDTF">2026-08-27T06:56:48.578Z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