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40"/>
        <w:tblBorders>
          <w:top w:val="single" w:color="B8862E" w:sz="16"/>
          <w:left w:val="none" w:color="FFFFFF" w:sz="0"/>
          <w:bottom w:val="single" w:color="B8862E" w:sz="16"/>
          <w:right w:val="none" w:color="FFFFFF" w:sz="0"/>
          <w:insideH w:val="none" w:color="FFFFFF" w:sz="0"/>
          <w:insideV w:val="none" w:color="FFFFFF" w:sz="0"/>
        </w:tblBorders>
      </w:tblPr>
      <w:tblGrid>
        <w:gridCol w:w="10040"/>
      </w:tblGrid>
      <w:tr>
        <w:tc>
          <w:tcPr>
            <w:tcW w:type="dxa" w:w="10040"/>
            <w:shd w:fill="16305C" w:color="auto" w:val="clear"/>
            <w:tcMar>
              <w:top w:type="dxa" w:w="340"/>
              <w:left w:type="dxa" w:w="400"/>
              <w:bottom w:type="dxa" w:w="320"/>
              <w:right w:type="dxa" w:w="400"/>
            </w:tcMar>
          </w:tcPr>
          <w:p>
            <w:pPr>
              <w:spacing w:after="90"/>
              <w:jc w:val="center"/>
            </w:pPr>
            <w:r>
              <w:rPr>
                <w:b/>
                <w:bCs/>
                <w:caps/>
                <w:color w:val="B8862E"/>
                <w:spacing w:val="26"/>
                <w:sz w:val="18"/>
                <w:szCs w:val="18"/>
              </w:rPr>
              <w:t xml:space="preserve">STANDARD OPERATING PROCEDURE</w:t>
            </w:r>
          </w:p>
          <w:p>
            <w:pPr>
              <w:spacing w:after="90"/>
              <w:jc w:val="center"/>
            </w:pPr>
            <w:r>
              <w:rPr>
                <w:b/>
                <w:bCs/>
                <w:color w:val="FFFFFF"/>
                <w:sz w:val="38"/>
                <w:szCs w:val="38"/>
              </w:rPr>
              <w:t xml:space="preserve">Resolving Read-Only Amazon EFS File System Mounts</w:t>
            </w:r>
          </w:p>
          <w:p>
            <w:pPr>
              <w:spacing w:after="200"/>
              <w:jc w:val="center"/>
            </w:pPr>
            <w:r>
              <w:rPr>
                <w:i/>
                <w:iCs/>
                <w:color w:val="E7D9B8"/>
                <w:sz w:val="21"/>
                <w:szCs w:val="21"/>
              </w:rPr>
              <w:t xml:space="preserve">Amazon EFS — Console-Based Troubleshooting via EC2 Instance Connect</w:t>
            </w:r>
          </w:p>
          <w:p>
            <w:pPr>
              <w:jc w:val="center"/>
            </w:pPr>
            <w:r>
              <w:rPr>
                <w:color w:val="C7CEDA"/>
                <w:sz w:val="16"/>
                <w:szCs w:val="16"/>
              </w:rPr>
              <w:t xml:space="preserve">Doc Ref: SOP-AWS-EFS-005-GUI      </w:t>
            </w:r>
            <w:r>
              <w:rPr>
                <w:color w:val="C7CEDA"/>
                <w:sz w:val="16"/>
                <w:szCs w:val="16"/>
              </w:rPr>
              <w:t xml:space="preserve">|      Version 1.0      |      </w:t>
            </w:r>
            <w:r>
              <w:rPr>
                <w:color w:val="C7CEDA"/>
                <w:sz w:val="16"/>
                <w:szCs w:val="16"/>
              </w:rPr>
              <w:t xml:space="preserve">19-Jul-2026</w:t>
            </w:r>
          </w:p>
        </w:tc>
      </w:tr>
    </w:tbl>
    <w:p>
      <w:pPr>
        <w:spacing w:after="320"/>
      </w:pPr>
    </w:p>
    <w:tbl>
      <w:tblPr>
        <w:tblW w:type="dxa" w:w="10040"/>
        <w:tblBorders>
          <w:top w:val="none" w:color="FFFFFF" w:sz="0"/>
          <w:left w:val="none" w:color="FFFFFF" w:sz="0"/>
          <w:bottom w:val="single" w:color="16305C" w:sz="8"/>
          <w:right w:val="none" w:color="FFFFFF" w:sz="0"/>
          <w:insideH w:val="none" w:color="FFFFFF" w:sz="0"/>
          <w:insideV w:val="none" w:color="FFFFFF" w:sz="0"/>
        </w:tblBorders>
      </w:tblPr>
      <w:tblGrid>
        <w:gridCol w:w="560"/>
        <w:gridCol w:w="9480"/>
      </w:tblGrid>
      <w:tr>
        <w:tc>
          <w:tcPr>
            <w:tcW w:type="dxa" w:w="560"/>
            <w:shd w:fill="B8862E" w:color="auto" w:val="clear"/>
            <w:tcMar>
              <w:top w:type="dxa" w:w="90"/>
              <w:left w:type="dxa" w:w="0"/>
              <w:bottom w:type="dxa" w:w="90"/>
              <w:right w:type="dxa" w:w="0"/>
            </w:tcMar>
            <w:vAlign w:val="center"/>
          </w:tcPr>
          <w:p>
            <w:pPr>
              <w:jc w:val="center"/>
            </w:pPr>
            <w:r>
              <w:rPr>
                <w:b/>
                <w:bCs/>
                <w:color w:val="FFFFFF"/>
                <w:sz w:val="24"/>
                <w:szCs w:val="24"/>
              </w:rPr>
              <w:t xml:space="preserve">1</w:t>
            </w:r>
          </w:p>
        </w:tc>
        <w:tc>
          <w:tcPr>
            <w:tcW w:type="dxa" w:w="9480"/>
            <w:shd w:fill="FFFFFF" w:color="auto" w:val="clear"/>
            <w:tcMar>
              <w:top w:type="dxa" w:w="90"/>
              <w:left w:type="dxa" w:w="180"/>
              <w:bottom w:type="dxa" w:w="90"/>
              <w:right w:type="dxa" w:w="0"/>
            </w:tcMar>
            <w:vAlign w:val="center"/>
          </w:tcPr>
          <w:p>
            <w:r>
              <w:rPr>
                <w:b/>
                <w:bCs/>
                <w:caps/>
                <w:color w:val="16305C"/>
                <w:spacing w:val="12"/>
                <w:sz w:val="27"/>
                <w:szCs w:val="27"/>
              </w:rPr>
              <w:t xml:space="preserve">Incident Information</w:t>
            </w:r>
          </w:p>
        </w:tc>
      </w:tr>
    </w:tbl>
    <w:p>
      <w:pPr>
        <w:spacing w:after="220"/>
      </w:pPr>
    </w:p>
    <w:tbl>
      <w:tblPr>
        <w:tblW w:type="dxa" w:w="10040"/>
        <w:tblBorders>
          <w:top w:val="single" w:color="B8862E" w:sz="14"/>
          <w:left w:val="single" w:color="16305C" w:sz="6"/>
          <w:bottom w:val="single" w:color="16305C" w:sz="6"/>
          <w:right w:val="single" w:color="16305C" w:sz="6"/>
          <w:insideH w:val="single" w:color="D9D2C2" w:sz="4"/>
          <w:insideV w:val="none" w:color="FFFFFF" w:sz="0"/>
        </w:tblBorders>
      </w:tblPr>
      <w:tblGrid>
        <w:gridCol w:w="2800"/>
        <w:gridCol w:w="7240"/>
      </w:tblGrid>
      <w:tr>
        <w:tc>
          <w:tcPr>
            <w:tcW w:type="dxa" w:w="2800"/>
            <w:shd w:fill="FAF6EE" w:color="auto" w:val="clear"/>
            <w:tcMar>
              <w:top w:type="dxa" w:w="130"/>
              <w:left w:type="dxa" w:w="180"/>
              <w:bottom w:type="dxa" w:w="130"/>
              <w:right w:type="dxa" w:w="120"/>
            </w:tcMar>
            <w:vAlign w:val="center"/>
          </w:tcPr>
          <w:p>
            <w:r>
              <w:rPr>
                <w:b/>
                <w:bCs/>
                <w:caps/>
                <w:color w:val="16305C"/>
                <w:spacing w:val="4"/>
                <w:sz w:val="19"/>
                <w:szCs w:val="19"/>
              </w:rPr>
              <w:t xml:space="preserve">Incident ID</w:t>
            </w:r>
          </w:p>
        </w:tc>
        <w:tc>
          <w:tcPr>
            <w:tcW w:type="dxa" w:w="7240"/>
            <w:shd w:fill="FFFFFF" w:color="auto" w:val="clear"/>
            <w:tcMar>
              <w:top w:type="dxa" w:w="130"/>
              <w:left w:type="dxa" w:w="180"/>
              <w:bottom w:type="dxa" w:w="130"/>
              <w:right w:type="dxa" w:w="120"/>
            </w:tcMar>
            <w:vAlign w:val="center"/>
          </w:tcPr>
          <w:p>
            <w:r>
              <w:rPr>
                <w:color w:val="262626"/>
                <w:sz w:val="21"/>
                <w:szCs w:val="21"/>
              </w:rPr>
              <w:t xml:space="preserve">INC-2026-0716-005</w:t>
            </w:r>
          </w:p>
        </w:tc>
      </w:tr>
      <w:tr>
        <w:tc>
          <w:tcPr>
            <w:tcW w:type="dxa" w:w="2800"/>
            <w:shd w:fill="FAF6EE" w:color="auto" w:val="clear"/>
            <w:tcMar>
              <w:top w:type="dxa" w:w="130"/>
              <w:left w:type="dxa" w:w="180"/>
              <w:bottom w:type="dxa" w:w="130"/>
              <w:right w:type="dxa" w:w="120"/>
            </w:tcMar>
            <w:vAlign w:val="center"/>
          </w:tcPr>
          <w:p>
            <w:r>
              <w:rPr>
                <w:b/>
                <w:bCs/>
                <w:caps/>
                <w:color w:val="16305C"/>
                <w:spacing w:val="4"/>
                <w:sz w:val="19"/>
                <w:szCs w:val="19"/>
              </w:rPr>
              <w:t xml:space="preserve">Date &amp; Time</w:t>
            </w:r>
          </w:p>
        </w:tc>
        <w:tc>
          <w:tcPr>
            <w:tcW w:type="dxa" w:w="7240"/>
            <w:shd w:fill="FFFFFF" w:color="auto" w:val="clear"/>
            <w:tcMar>
              <w:top w:type="dxa" w:w="130"/>
              <w:left w:type="dxa" w:w="180"/>
              <w:bottom w:type="dxa" w:w="130"/>
              <w:right w:type="dxa" w:w="120"/>
            </w:tcMar>
            <w:vAlign w:val="center"/>
          </w:tcPr>
          <w:p>
            <w:r>
              <w:rPr>
                <w:color w:val="262626"/>
                <w:sz w:val="21"/>
                <w:szCs w:val="21"/>
              </w:rPr>
              <w:t xml:space="preserve">16-Jul-2026, 10:05 IST</w:t>
            </w:r>
          </w:p>
        </w:tc>
      </w:tr>
      <w:tr>
        <w:tc>
          <w:tcPr>
            <w:tcW w:type="dxa" w:w="2800"/>
            <w:shd w:fill="FAF6EE" w:color="auto" w:val="clear"/>
            <w:tcMar>
              <w:top w:type="dxa" w:w="130"/>
              <w:left w:type="dxa" w:w="180"/>
              <w:bottom w:type="dxa" w:w="130"/>
              <w:right w:type="dxa" w:w="120"/>
            </w:tcMar>
            <w:vAlign w:val="center"/>
          </w:tcPr>
          <w:p>
            <w:r>
              <w:rPr>
                <w:b/>
                <w:bCs/>
                <w:caps/>
                <w:color w:val="16305C"/>
                <w:spacing w:val="4"/>
                <w:sz w:val="19"/>
                <w:szCs w:val="19"/>
              </w:rPr>
              <w:t xml:space="preserve">Reported By</w:t>
            </w:r>
          </w:p>
        </w:tc>
        <w:tc>
          <w:tcPr>
            <w:tcW w:type="dxa" w:w="7240"/>
            <w:shd w:fill="FFFFFF" w:color="auto" w:val="clear"/>
            <w:tcMar>
              <w:top w:type="dxa" w:w="130"/>
              <w:left w:type="dxa" w:w="180"/>
              <w:bottom w:type="dxa" w:w="130"/>
              <w:right w:type="dxa" w:w="120"/>
            </w:tcMar>
            <w:vAlign w:val="center"/>
          </w:tcPr>
          <w:p>
            <w:r>
              <w:rPr>
                <w:color w:val="262626"/>
                <w:sz w:val="21"/>
                <w:szCs w:val="21"/>
              </w:rPr>
              <w:t xml:space="preserve">ABC Technologies — Infrastructure Support</w:t>
            </w:r>
          </w:p>
        </w:tc>
      </w:tr>
      <w:tr>
        <w:tc>
          <w:tcPr>
            <w:tcW w:type="dxa" w:w="2800"/>
            <w:shd w:fill="FAF6EE" w:color="auto" w:val="clear"/>
            <w:tcMar>
              <w:top w:type="dxa" w:w="130"/>
              <w:left w:type="dxa" w:w="180"/>
              <w:bottom w:type="dxa" w:w="130"/>
              <w:right w:type="dxa" w:w="120"/>
            </w:tcMar>
            <w:vAlign w:val="center"/>
          </w:tcPr>
          <w:p>
            <w:r>
              <w:rPr>
                <w:b/>
                <w:bCs/>
                <w:caps/>
                <w:color w:val="16305C"/>
                <w:spacing w:val="4"/>
                <w:sz w:val="19"/>
                <w:szCs w:val="19"/>
              </w:rPr>
              <w:t xml:space="preserve">Severity Level</w:t>
            </w:r>
          </w:p>
        </w:tc>
        <w:tc>
          <w:tcPr>
            <w:tcW w:type="dxa" w:w="7240"/>
            <w:shd w:fill="FFFFFF" w:color="auto" w:val="clear"/>
            <w:tcMar>
              <w:top w:type="dxa" w:w="130"/>
              <w:left w:type="dxa" w:w="180"/>
              <w:bottom w:type="dxa" w:w="130"/>
              <w:right w:type="dxa" w:w="120"/>
            </w:tcMar>
            <w:vAlign w:val="center"/>
          </w:tcPr>
          <w:p>
            <w:r>
              <w:rPr>
                <w:color w:val="262626"/>
                <w:sz w:val="21"/>
                <w:szCs w:val="21"/>
              </w:rPr>
              <w:t xml:space="preserve">Medium — Write operations blocked on one instance; others unaffected</w:t>
            </w:r>
          </w:p>
        </w:tc>
      </w:tr>
    </w:tbl>
    <w:p>
      <w:pPr>
        <w:spacing w:after="220"/>
      </w:pPr>
    </w:p>
    <w:tbl>
      <w:tblPr>
        <w:tblW w:type="dxa" w:w="10040"/>
        <w:tblBorders>
          <w:top w:val="none" w:color="FFFFFF" w:sz="0"/>
          <w:left w:val="none" w:color="FFFFFF" w:sz="0"/>
          <w:bottom w:val="single" w:color="16305C" w:sz="8"/>
          <w:right w:val="none" w:color="FFFFFF" w:sz="0"/>
          <w:insideH w:val="none" w:color="FFFFFF" w:sz="0"/>
          <w:insideV w:val="none" w:color="FFFFFF" w:sz="0"/>
        </w:tblBorders>
      </w:tblPr>
      <w:tblGrid>
        <w:gridCol w:w="560"/>
        <w:gridCol w:w="9480"/>
      </w:tblGrid>
      <w:tr>
        <w:tc>
          <w:tcPr>
            <w:tcW w:type="dxa" w:w="560"/>
            <w:shd w:fill="B8862E" w:color="auto" w:val="clear"/>
            <w:tcMar>
              <w:top w:type="dxa" w:w="90"/>
              <w:left w:type="dxa" w:w="0"/>
              <w:bottom w:type="dxa" w:w="90"/>
              <w:right w:type="dxa" w:w="0"/>
            </w:tcMar>
            <w:vAlign w:val="center"/>
          </w:tcPr>
          <w:p>
            <w:pPr>
              <w:jc w:val="center"/>
            </w:pPr>
            <w:r>
              <w:rPr>
                <w:b/>
                <w:bCs/>
                <w:color w:val="FFFFFF"/>
                <w:sz w:val="24"/>
                <w:szCs w:val="24"/>
              </w:rPr>
              <w:t xml:space="preserve">2</w:t>
            </w:r>
          </w:p>
        </w:tc>
        <w:tc>
          <w:tcPr>
            <w:tcW w:type="dxa" w:w="9480"/>
            <w:shd w:fill="FFFFFF" w:color="auto" w:val="clear"/>
            <w:tcMar>
              <w:top w:type="dxa" w:w="90"/>
              <w:left w:type="dxa" w:w="180"/>
              <w:bottom w:type="dxa" w:w="90"/>
              <w:right w:type="dxa" w:w="0"/>
            </w:tcMar>
            <w:vAlign w:val="center"/>
          </w:tcPr>
          <w:p>
            <w:r>
              <w:rPr>
                <w:b/>
                <w:bCs/>
                <w:caps/>
                <w:color w:val="16305C"/>
                <w:spacing w:val="12"/>
                <w:sz w:val="27"/>
                <w:szCs w:val="27"/>
              </w:rPr>
              <w:t xml:space="preserve">Problem Description</w:t>
            </w:r>
          </w:p>
        </w:tc>
      </w:tr>
    </w:tbl>
    <w:p>
      <w:pPr>
        <w:spacing w:after="220"/>
      </w:pPr>
    </w:p>
    <w:p>
      <w:pPr>
        <w:pBdr>
          <w:left w:val="single" w:color="B8862E" w:sz="16" w:space="10"/>
        </w:pBdr>
        <w:spacing w:after="100" w:before="240"/>
        <w:ind w:left="40"/>
      </w:pPr>
      <w:r>
        <w:rPr>
          <w:b/>
          <w:bCs/>
          <w:caps/>
          <w:color w:val="16305C"/>
          <w:spacing w:val="8"/>
          <w:sz w:val="21"/>
          <w:szCs w:val="21"/>
        </w:rPr>
        <w:t xml:space="preserve">Business Impact</w:t>
      </w:r>
    </w:p>
    <w:p>
      <w:pPr>
        <w:spacing w:after="140" w:line="300"/>
      </w:pPr>
      <w:r>
        <w:rPr>
          <w:color w:val="262626"/>
          <w:sz w:val="21"/>
          <w:szCs w:val="21"/>
        </w:rPr>
        <w:t xml:space="preserve">ABC Technologies has multiple EC2 instances mounting a shared Amazon EFS file system. Applications on the affected instance that need to write shared data (logs, uploads, shared configuration) fail outright, while every other instance mounted to the same file system continues reading and writing normally — pointing to an instance-specific condition rather than a file-system-wide outage, though it still disrupts whatever workload runs on that host.</w:t>
      </w:r>
    </w:p>
    <w:p>
      <w:pPr>
        <w:pBdr>
          <w:left w:val="single" w:color="B8862E" w:sz="16" w:space="10"/>
        </w:pBdr>
        <w:spacing w:after="100" w:before="240"/>
        <w:ind w:left="40"/>
      </w:pPr>
      <w:r>
        <w:rPr>
          <w:b/>
          <w:bCs/>
          <w:caps/>
          <w:color w:val="16305C"/>
          <w:spacing w:val="8"/>
          <w:sz w:val="21"/>
          <w:szCs w:val="21"/>
        </w:rPr>
        <w:t xml:space="preserve">Symptoms</w:t>
      </w:r>
    </w:p>
    <w:p>
      <w:pPr>
        <w:pStyle w:val="ListParagraph"/>
        <w:numPr>
          <w:ilvl w:val="0"/>
          <w:numId w:val="2"/>
        </w:numPr>
        <w:spacing w:after="80" w:line="280"/>
      </w:pPr>
      <w:r>
        <w:rPr>
          <w:color w:val="262626"/>
          <w:sz w:val="21"/>
          <w:szCs w:val="21"/>
        </w:rPr>
        <w:t xml:space="preserve">The affected instance shows the EFS mount as read-only when inspected (e.g., via mount or a manual write test).</w:t>
      </w:r>
    </w:p>
    <w:p>
      <w:pPr>
        <w:pStyle w:val="ListParagraph"/>
        <w:numPr>
          <w:ilvl w:val="0"/>
          <w:numId w:val="2"/>
        </w:numPr>
        <w:spacing w:after="80" w:line="280"/>
      </w:pPr>
      <w:r>
        <w:rPr>
          <w:color w:val="262626"/>
          <w:sz w:val="21"/>
          <w:szCs w:val="21"/>
        </w:rPr>
        <w:t xml:space="preserve">Write and append operations from applications or manual commands fail with a “Read-only file system” error.</w:t>
      </w:r>
    </w:p>
    <w:p>
      <w:pPr>
        <w:pStyle w:val="ListParagraph"/>
        <w:numPr>
          <w:ilvl w:val="0"/>
          <w:numId w:val="2"/>
        </w:numPr>
        <w:spacing w:after="80" w:line="280"/>
      </w:pPr>
      <w:r>
        <w:rPr>
          <w:color w:val="262626"/>
          <w:sz w:val="21"/>
          <w:szCs w:val="21"/>
        </w:rPr>
        <w:t xml:space="preserve">Other EC2 instances mounted to the same EFS file system read and write without any issue.</w:t>
      </w:r>
    </w:p>
    <w:p>
      <w:pPr>
        <w:pBdr>
          <w:left w:val="single" w:color="B8862E" w:sz="16" w:space="10"/>
        </w:pBdr>
        <w:spacing w:after="100" w:before="240"/>
        <w:ind w:left="40"/>
      </w:pPr>
      <w:r>
        <w:rPr>
          <w:b/>
          <w:bCs/>
          <w:caps/>
          <w:color w:val="16305C"/>
          <w:spacing w:val="8"/>
          <w:sz w:val="21"/>
          <w:szCs w:val="21"/>
        </w:rPr>
        <w:t xml:space="preserve">Affected Services</w:t>
      </w:r>
    </w:p>
    <w:p>
      <w:pPr>
        <w:pStyle w:val="ListParagraph"/>
        <w:numPr>
          <w:ilvl w:val="0"/>
          <w:numId w:val="2"/>
        </w:numPr>
        <w:spacing w:after="80" w:line="280"/>
      </w:pPr>
      <w:r>
        <w:rPr>
          <w:color w:val="262626"/>
          <w:sz w:val="21"/>
          <w:szCs w:val="21"/>
        </w:rPr>
        <w:t xml:space="preserve">Amazon EFS — the shared file system and its mount targets</w:t>
      </w:r>
    </w:p>
    <w:p>
      <w:pPr>
        <w:pStyle w:val="ListParagraph"/>
        <w:numPr>
          <w:ilvl w:val="0"/>
          <w:numId w:val="2"/>
        </w:numPr>
        <w:spacing w:after="80" w:line="280"/>
      </w:pPr>
      <w:r>
        <w:rPr>
          <w:color w:val="262626"/>
          <w:sz w:val="21"/>
          <w:szCs w:val="21"/>
        </w:rPr>
        <w:t xml:space="preserve">Amazon EC2 — the specific instance reporting read-only behavior</w:t>
      </w:r>
    </w:p>
    <w:p>
      <w:pPr>
        <w:pStyle w:val="ListParagraph"/>
        <w:numPr>
          <w:ilvl w:val="0"/>
          <w:numId w:val="2"/>
        </w:numPr>
        <w:spacing w:after="80" w:line="280"/>
      </w:pPr>
      <w:r>
        <w:rPr>
          <w:color w:val="262626"/>
          <w:sz w:val="21"/>
          <w:szCs w:val="21"/>
        </w:rPr>
        <w:t xml:space="preserve">EFS Access Points / IAM — enforced POSIX permissions and write policy, if used</w:t>
      </w:r>
    </w:p>
    <w:p>
      <w:pPr>
        <w:pStyle w:val="ListParagraph"/>
        <w:numPr>
          <w:ilvl w:val="0"/>
          <w:numId w:val="2"/>
        </w:numPr>
        <w:spacing w:after="80" w:line="280"/>
      </w:pPr>
      <w:r>
        <w:rPr>
          <w:color w:val="262626"/>
          <w:sz w:val="21"/>
          <w:szCs w:val="21"/>
        </w:rPr>
        <w:t xml:space="preserve">Security Groups — NFS (port 2049) traffic between the instance and the mount target</w:t>
      </w:r>
    </w:p>
    <w:p>
      <w:pPr>
        <w:spacing w:after="220"/>
      </w:pPr>
    </w:p>
    <w:tbl>
      <w:tblPr>
        <w:tblW w:type="dxa" w:w="10040"/>
        <w:tblBorders>
          <w:top w:val="none" w:color="FFFFFF" w:sz="0"/>
          <w:left w:val="none" w:color="FFFFFF" w:sz="0"/>
          <w:bottom w:val="single" w:color="16305C" w:sz="8"/>
          <w:right w:val="none" w:color="FFFFFF" w:sz="0"/>
          <w:insideH w:val="none" w:color="FFFFFF" w:sz="0"/>
          <w:insideV w:val="none" w:color="FFFFFF" w:sz="0"/>
        </w:tblBorders>
      </w:tblPr>
      <w:tblGrid>
        <w:gridCol w:w="560"/>
        <w:gridCol w:w="9480"/>
      </w:tblGrid>
      <w:tr>
        <w:tc>
          <w:tcPr>
            <w:tcW w:type="dxa" w:w="560"/>
            <w:shd w:fill="B8862E" w:color="auto" w:val="clear"/>
            <w:tcMar>
              <w:top w:type="dxa" w:w="90"/>
              <w:left w:type="dxa" w:w="0"/>
              <w:bottom w:type="dxa" w:w="90"/>
              <w:right w:type="dxa" w:w="0"/>
            </w:tcMar>
            <w:vAlign w:val="center"/>
          </w:tcPr>
          <w:p>
            <w:pPr>
              <w:jc w:val="center"/>
            </w:pPr>
            <w:r>
              <w:rPr>
                <w:b/>
                <w:bCs/>
                <w:color w:val="FFFFFF"/>
                <w:sz w:val="24"/>
                <w:szCs w:val="24"/>
              </w:rPr>
              <w:t xml:space="preserve">3</w:t>
            </w:r>
          </w:p>
        </w:tc>
        <w:tc>
          <w:tcPr>
            <w:tcW w:type="dxa" w:w="9480"/>
            <w:shd w:fill="FFFFFF" w:color="auto" w:val="clear"/>
            <w:tcMar>
              <w:top w:type="dxa" w:w="90"/>
              <w:left w:type="dxa" w:w="180"/>
              <w:bottom w:type="dxa" w:w="90"/>
              <w:right w:type="dxa" w:w="0"/>
            </w:tcMar>
            <w:vAlign w:val="center"/>
          </w:tcPr>
          <w:p>
            <w:r>
              <w:rPr>
                <w:b/>
                <w:bCs/>
                <w:caps/>
                <w:color w:val="16305C"/>
                <w:spacing w:val="12"/>
                <w:sz w:val="27"/>
                <w:szCs w:val="27"/>
              </w:rPr>
              <w:t xml:space="preserve">Root Cause Analysis</w:t>
            </w:r>
          </w:p>
        </w:tc>
      </w:tr>
    </w:tbl>
    <w:p>
      <w:pPr>
        <w:spacing w:after="220"/>
      </w:pPr>
    </w:p>
    <w:p>
      <w:pPr>
        <w:pBdr>
          <w:left w:val="single" w:color="B8862E" w:sz="16" w:space="10"/>
        </w:pBdr>
        <w:spacing w:after="100" w:before="240"/>
        <w:ind w:left="40"/>
      </w:pPr>
      <w:r>
        <w:rPr>
          <w:b/>
          <w:bCs/>
          <w:caps/>
          <w:color w:val="16305C"/>
          <w:spacing w:val="8"/>
          <w:sz w:val="21"/>
          <w:szCs w:val="21"/>
        </w:rPr>
        <w:t xml:space="preserve">Probable Causes</w:t>
      </w:r>
    </w:p>
    <w:p>
      <w:pPr>
        <w:pStyle w:val="ListParagraph"/>
        <w:numPr>
          <w:ilvl w:val="0"/>
          <w:numId w:val="2"/>
        </w:numPr>
        <w:spacing w:after="80" w:line="280"/>
      </w:pPr>
      <w:r>
        <w:rPr>
          <w:color w:val="262626"/>
          <w:sz w:val="21"/>
          <w:szCs w:val="21"/>
        </w:rPr>
        <w:t xml:space="preserve">The file system (or an EFS Access Point used for the mount) was mounted with a read-only (ro) option in /etc/fstab or the mount command.</w:t>
      </w:r>
    </w:p>
    <w:p>
      <w:pPr>
        <w:pStyle w:val="ListParagraph"/>
        <w:numPr>
          <w:ilvl w:val="0"/>
          <w:numId w:val="2"/>
        </w:numPr>
        <w:spacing w:after="80" w:line="280"/>
      </w:pPr>
      <w:r>
        <w:rPr>
          <w:color w:val="262626"/>
          <w:sz w:val="21"/>
          <w:szCs w:val="21"/>
        </w:rPr>
        <w:t xml:space="preserve">The EFS file system policy, or an IAM policy attached to the instance role, explicitly denies elasticfilesystem:ClientWrite.</w:t>
      </w:r>
    </w:p>
    <w:p>
      <w:pPr>
        <w:pStyle w:val="ListParagraph"/>
        <w:numPr>
          <w:ilvl w:val="0"/>
          <w:numId w:val="2"/>
        </w:numPr>
        <w:spacing w:after="80" w:line="280"/>
      </w:pPr>
      <w:r>
        <w:rPr>
          <w:color w:val="262626"/>
          <w:sz w:val="21"/>
          <w:szCs w:val="21"/>
        </w:rPr>
        <w:t xml:space="preserve">The mount goes through an EFS Access Point whose root directory is configured with read-only POSIX permissions.</w:t>
      </w:r>
    </w:p>
    <w:p>
      <w:pPr>
        <w:pStyle w:val="ListParagraph"/>
        <w:numPr>
          <w:ilvl w:val="0"/>
          <w:numId w:val="2"/>
        </w:numPr>
        <w:spacing w:after="80" w:line="280"/>
      </w:pPr>
      <w:r>
        <w:rPr>
          <w:color w:val="262626"/>
          <w:sz w:val="21"/>
          <w:szCs w:val="21"/>
        </w:rPr>
        <w:t xml:space="preserve">The file system has reached a storage or lifecycle state that unexpectedly restricts writes (uncommon, but worth ruling out).</w:t>
      </w:r>
    </w:p>
    <w:p>
      <w:pPr>
        <w:pStyle w:val="ListParagraph"/>
        <w:numPr>
          <w:ilvl w:val="0"/>
          <w:numId w:val="2"/>
        </w:numPr>
        <w:spacing w:after="80" w:line="280"/>
      </w:pPr>
      <w:r>
        <w:rPr>
          <w:color w:val="262626"/>
          <w:sz w:val="21"/>
          <w:szCs w:val="21"/>
        </w:rPr>
        <w:t xml:space="preserve">A stale, previously cached mount from an older configuration is still active, masking an already-corrected server-side setting.</w:t>
      </w:r>
    </w:p>
    <w:p>
      <w:pPr>
        <w:pBdr>
          <w:left w:val="single" w:color="B8862E" w:sz="16" w:space="10"/>
        </w:pBdr>
        <w:spacing w:after="100" w:before="240"/>
        <w:ind w:left="40"/>
      </w:pPr>
      <w:r>
        <w:rPr>
          <w:b/>
          <w:bCs/>
          <w:caps/>
          <w:color w:val="16305C"/>
          <w:spacing w:val="8"/>
          <w:sz w:val="21"/>
          <w:szCs w:val="21"/>
        </w:rPr>
        <w:t xml:space="preserve">Confirmed Root Cause</w:t>
      </w:r>
    </w:p>
    <w:p>
      <w:pPr>
        <w:spacing w:after="140" w:line="300"/>
      </w:pPr>
      <w:r>
        <w:rPr>
          <w:color w:val="262626"/>
          <w:sz w:val="21"/>
          <w:szCs w:val="21"/>
        </w:rPr>
        <w:t xml:space="preserve">The affected instance's /etc/fstab entry retained the ro mount option from an earlier read-only test configuration. Every reboot re-mounted the EFS file system as read-only regardless of the file system's own (correctly writable) policy and permissions. The other instances carried the correct rw option, which is why the issue was isolated to this single host rather than affecting the file system as a whole. Note that this specific fix lives inside the instance's own operating system — no AWS Console panel can view or edit a file like /etc/fstab directly.</w:t>
      </w:r>
    </w:p>
    <w:p>
      <w:pPr>
        <w:spacing w:after="220"/>
      </w:pPr>
    </w:p>
    <w:tbl>
      <w:tblPr>
        <w:tblW w:type="dxa" w:w="10040"/>
        <w:tblBorders>
          <w:top w:val="none" w:color="FFFFFF" w:sz="0"/>
          <w:left w:val="none" w:color="FFFFFF" w:sz="0"/>
          <w:bottom w:val="single" w:color="16305C" w:sz="8"/>
          <w:right w:val="none" w:color="FFFFFF" w:sz="0"/>
          <w:insideH w:val="none" w:color="FFFFFF" w:sz="0"/>
          <w:insideV w:val="none" w:color="FFFFFF" w:sz="0"/>
        </w:tblBorders>
      </w:tblPr>
      <w:tblGrid>
        <w:gridCol w:w="560"/>
        <w:gridCol w:w="9480"/>
      </w:tblGrid>
      <w:tr>
        <w:tc>
          <w:tcPr>
            <w:tcW w:type="dxa" w:w="560"/>
            <w:shd w:fill="B8862E" w:color="auto" w:val="clear"/>
            <w:tcMar>
              <w:top w:type="dxa" w:w="90"/>
              <w:left w:type="dxa" w:w="0"/>
              <w:bottom w:type="dxa" w:w="90"/>
              <w:right w:type="dxa" w:w="0"/>
            </w:tcMar>
            <w:vAlign w:val="center"/>
          </w:tcPr>
          <w:p>
            <w:pPr>
              <w:jc w:val="center"/>
            </w:pPr>
            <w:r>
              <w:rPr>
                <w:b/>
                <w:bCs/>
                <w:color w:val="FFFFFF"/>
                <w:sz w:val="24"/>
                <w:szCs w:val="24"/>
              </w:rPr>
              <w:t xml:space="preserve">4</w:t>
            </w:r>
          </w:p>
        </w:tc>
        <w:tc>
          <w:tcPr>
            <w:tcW w:type="dxa" w:w="9480"/>
            <w:shd w:fill="FFFFFF" w:color="auto" w:val="clear"/>
            <w:tcMar>
              <w:top w:type="dxa" w:w="90"/>
              <w:left w:type="dxa" w:w="180"/>
              <w:bottom w:type="dxa" w:w="90"/>
              <w:right w:type="dxa" w:w="0"/>
            </w:tcMar>
            <w:vAlign w:val="center"/>
          </w:tcPr>
          <w:p>
            <w:r>
              <w:rPr>
                <w:b/>
                <w:bCs/>
                <w:caps/>
                <w:color w:val="16305C"/>
                <w:spacing w:val="12"/>
                <w:sz w:val="27"/>
                <w:szCs w:val="27"/>
              </w:rPr>
              <w:t xml:space="preserve">Troubleshooting Steps (Console / GUI Edition)</w:t>
            </w:r>
          </w:p>
        </w:tc>
      </w:tr>
    </w:tbl>
    <w:p>
      <w:pPr>
        <w:spacing w:after="220"/>
      </w:pPr>
    </w:p>
    <w:p>
      <w:pPr>
        <w:pBdr>
          <w:left w:val="single" w:color="B8862E" w:sz="16" w:space="10"/>
        </w:pBdr>
        <w:spacing w:after="100" w:before="240"/>
        <w:ind w:left="40"/>
      </w:pPr>
      <w:r>
        <w:rPr>
          <w:b/>
          <w:bCs/>
          <w:caps/>
          <w:color w:val="16305C"/>
          <w:spacing w:val="8"/>
          <w:sz w:val="21"/>
          <w:szCs w:val="21"/>
        </w:rPr>
        <w:t xml:space="preserve">Console Verification Steps</w:t>
      </w:r>
    </w:p>
    <w:p>
      <w:pPr>
        <w:pStyle w:val="ListParagraph"/>
        <w:numPr>
          <w:ilvl w:val="0"/>
          <w:numId w:val="2"/>
        </w:numPr>
        <w:spacing w:after="80" w:line="280"/>
      </w:pPr>
      <w:r>
        <w:rPr>
          <w:color w:val="262626"/>
          <w:sz w:val="21"/>
          <w:szCs w:val="21"/>
        </w:rPr>
        <w:t xml:space="preserve">Open the EFS console → select the file system → Permissions tab → review the file system policy for any statement that might restrict writes.</w:t>
      </w:r>
    </w:p>
    <w:p>
      <w:pPr>
        <w:pStyle w:val="ListParagraph"/>
        <w:numPr>
          <w:ilvl w:val="0"/>
          <w:numId w:val="2"/>
        </w:numPr>
        <w:spacing w:after="80" w:line="280"/>
      </w:pPr>
      <w:r>
        <w:rPr>
          <w:color w:val="262626"/>
          <w:sz w:val="21"/>
          <w:szCs w:val="21"/>
        </w:rPr>
        <w:t xml:space="preserve">Still in the EFS console, open the Access points tab (if an Access Point is used for the mount) and check its Root directory permissions and POSIX user/group settings.</w:t>
      </w:r>
    </w:p>
    <w:p>
      <w:pPr>
        <w:pStyle w:val="ListParagraph"/>
        <w:numPr>
          <w:ilvl w:val="0"/>
          <w:numId w:val="2"/>
        </w:numPr>
        <w:spacing w:after="80" w:line="280"/>
      </w:pPr>
      <w:r>
        <w:rPr>
          <w:color w:val="262626"/>
          <w:sz w:val="21"/>
          <w:szCs w:val="21"/>
        </w:rPr>
        <w:t xml:space="preserve">Open the EC2 console → Security Groups → select the security group attached to the instance → confirm inbound rules allow NFS (port 2049) from the mount target.</w:t>
      </w:r>
    </w:p>
    <w:p>
      <w:pPr>
        <w:pStyle w:val="ListParagraph"/>
        <w:numPr>
          <w:ilvl w:val="0"/>
          <w:numId w:val="2"/>
        </w:numPr>
        <w:spacing w:after="80" w:line="280"/>
      </w:pPr>
      <w:r>
        <w:rPr>
          <w:color w:val="262626"/>
          <w:sz w:val="21"/>
          <w:szCs w:val="21"/>
        </w:rPr>
        <w:t xml:space="preserve">Open the EC2 console → select the affected instance → click Connect → choose the EC2 Instance Connect tab to open a browser-based terminal, rather than needing a separate SSH client.</w:t>
      </w:r>
    </w:p>
    <w:p>
      <w:pPr>
        <w:pBdr>
          <w:left w:val="single" w:color="B8862E" w:sz="16" w:space="10"/>
        </w:pBdr>
        <w:spacing w:after="100" w:before="240"/>
        <w:ind w:left="40"/>
      </w:pPr>
      <w:r>
        <w:rPr>
          <w:b/>
          <w:bCs/>
          <w:caps/>
          <w:color w:val="16305C"/>
          <w:spacing w:val="8"/>
          <w:sz w:val="21"/>
          <w:szCs w:val="21"/>
        </w:rPr>
        <w:t xml:space="preserve">Where the Console Reaches Its Limit</w:t>
      </w:r>
    </w:p>
    <w:p>
      <w:pPr>
        <w:spacing w:after="140" w:line="300"/>
      </w:pPr>
      <w:r>
        <w:rPr>
          <w:color w:val="262626"/>
          <w:sz w:val="21"/>
          <w:szCs w:val="21"/>
        </w:rPr>
        <w:t xml:space="preserve">No AWS Console panel can read or edit files inside an instance's operating system, so the actual /etc/fstab entry causing this issue cannot be viewed or corrected from the EFS or EC2 console screens. EC2 Instance Connect provides browser-based terminal access as the GUI entry point, but the fix itself still requires typing commands once connected — there is no further point-and-click path once inside the instance.</w:t>
      </w:r>
    </w:p>
    <w:p>
      <w:pPr>
        <w:spacing w:after="40" w:before="100"/>
        <w:ind w:left="40"/>
      </w:pPr>
      <w:r>
        <w:rPr>
          <w:b/>
          <w:bCs/>
          <w:i/>
          <w:iCs/>
          <w:color w:val="B8862E"/>
          <w:spacing w:val="6"/>
          <w:sz w:val="17"/>
          <w:szCs w:val="17"/>
        </w:rPr>
        <w:t xml:space="preserve">INSIDE THE EC2 INSTANCE CONNECT BROWSER TERMINAL</w:t>
      </w:r>
    </w:p>
    <w:p>
      <w:pPr>
        <w:pBdr>
          <w:left w:val="single" w:color="16305C" w:sz="18" w:space="10"/>
        </w:pBdr>
        <w:shd w:fill="F4F2ED" w:color="auto" w:val="clear"/>
        <w:spacing w:after="10"/>
        <w:ind w:left="200"/>
      </w:pPr>
      <w:r>
        <w:rPr>
          <w:rFonts w:ascii="Consolas" w:cs="Consolas" w:eastAsia="Consolas" w:hAnsi="Consolas"/>
          <w:color w:val="1F1F1F"/>
          <w:sz w:val="19"/>
          <w:szCs w:val="19"/>
        </w:rPr>
        <w:t xml:space="preserve">mount | grep efs</w:t>
      </w:r>
    </w:p>
    <w:p>
      <w:pPr>
        <w:pBdr>
          <w:left w:val="single" w:color="16305C" w:sz="18" w:space="10"/>
        </w:pBdr>
        <w:shd w:fill="F4F2ED" w:color="auto" w:val="clear"/>
        <w:spacing w:after="160"/>
        <w:ind w:left="200"/>
      </w:pPr>
      <w:r>
        <w:rPr>
          <w:rFonts w:ascii="Consolas" w:cs="Consolas" w:eastAsia="Consolas" w:hAnsi="Consolas"/>
          <w:color w:val="1F1F1F"/>
          <w:sz w:val="19"/>
          <w:szCs w:val="19"/>
        </w:rPr>
        <w:t xml:space="preserve">cat /etc/fstab | grep efs</w:t>
      </w:r>
    </w:p>
    <w:p>
      <w:pPr>
        <w:pBdr>
          <w:left w:val="single" w:color="B8862E" w:sz="16" w:space="10"/>
        </w:pBdr>
        <w:spacing w:after="100" w:before="240"/>
        <w:ind w:left="40"/>
      </w:pPr>
      <w:r>
        <w:rPr>
          <w:b/>
          <w:bCs/>
          <w:caps/>
          <w:color w:val="16305C"/>
          <w:spacing w:val="8"/>
          <w:sz w:val="21"/>
          <w:szCs w:val="21"/>
        </w:rPr>
        <w:t xml:space="preserve">AWS Services Checked</w:t>
      </w:r>
    </w:p>
    <w:p>
      <w:pPr>
        <w:pStyle w:val="ListParagraph"/>
        <w:numPr>
          <w:ilvl w:val="0"/>
          <w:numId w:val="2"/>
        </w:numPr>
        <w:spacing w:after="80" w:line="280"/>
      </w:pPr>
      <w:r>
        <w:rPr>
          <w:color w:val="262626"/>
          <w:sz w:val="21"/>
          <w:szCs w:val="21"/>
        </w:rPr>
        <w:t xml:space="preserve">EFS console — file system policy and Access Point configuration (Permissions and Access points tabs)</w:t>
      </w:r>
    </w:p>
    <w:p>
      <w:pPr>
        <w:pStyle w:val="ListParagraph"/>
        <w:numPr>
          <w:ilvl w:val="0"/>
          <w:numId w:val="2"/>
        </w:numPr>
        <w:spacing w:after="80" w:line="280"/>
      </w:pPr>
      <w:r>
        <w:rPr>
          <w:color w:val="262626"/>
          <w:sz w:val="21"/>
          <w:szCs w:val="21"/>
        </w:rPr>
        <w:t xml:space="preserve">EC2 console — Security Groups tab for the instance's inbound NFS rules</w:t>
      </w:r>
    </w:p>
    <w:p>
      <w:pPr>
        <w:pStyle w:val="ListParagraph"/>
        <w:numPr>
          <w:ilvl w:val="0"/>
          <w:numId w:val="2"/>
        </w:numPr>
        <w:spacing w:after="80" w:line="280"/>
      </w:pPr>
      <w:r>
        <w:rPr>
          <w:color w:val="262626"/>
          <w:sz w:val="21"/>
          <w:szCs w:val="21"/>
        </w:rPr>
        <w:t xml:space="preserve">IAM console — the instance role's permissions policy for elasticfilesystem:ClientWrite</w:t>
      </w:r>
    </w:p>
    <w:p>
      <w:pPr>
        <w:pBdr>
          <w:left w:val="single" w:color="B8862E" w:sz="16" w:space="10"/>
        </w:pBdr>
        <w:spacing w:after="100" w:before="240"/>
        <w:ind w:left="40"/>
      </w:pPr>
      <w:r>
        <w:rPr>
          <w:b/>
          <w:bCs/>
          <w:caps/>
          <w:color w:val="16305C"/>
          <w:spacing w:val="8"/>
          <w:sz w:val="21"/>
          <w:szCs w:val="21"/>
        </w:rPr>
        <w:t xml:space="preserve">Logs Reviewed</w:t>
      </w:r>
    </w:p>
    <w:p>
      <w:pPr>
        <w:pStyle w:val="ListParagraph"/>
        <w:numPr>
          <w:ilvl w:val="0"/>
          <w:numId w:val="2"/>
        </w:numPr>
        <w:spacing w:after="80" w:line="280"/>
      </w:pPr>
      <w:r>
        <w:rPr>
          <w:color w:val="262626"/>
          <w:sz w:val="21"/>
          <w:szCs w:val="21"/>
        </w:rPr>
        <w:t xml:space="preserve">CloudTrail console (Event history) filtered for recent changes to the EFS file system policy or Access Point</w:t>
      </w:r>
    </w:p>
    <w:p>
      <w:pPr>
        <w:pStyle w:val="ListParagraph"/>
        <w:numPr>
          <w:ilvl w:val="0"/>
          <w:numId w:val="2"/>
        </w:numPr>
        <w:spacing w:after="80" w:line="280"/>
      </w:pPr>
      <w:r>
        <w:rPr>
          <w:color w:val="262626"/>
          <w:sz w:val="21"/>
          <w:szCs w:val="21"/>
        </w:rPr>
        <w:t xml:space="preserve">Instance system logs, viewed through the EC2 Instance Connect terminal (/var/log/messages or journalctl), for mount-time errors</w:t>
      </w:r>
    </w:p>
    <w:p>
      <w:pPr>
        <w:spacing w:after="220"/>
      </w:pPr>
    </w:p>
    <w:tbl>
      <w:tblPr>
        <w:tblW w:type="dxa" w:w="10040"/>
        <w:tblBorders>
          <w:top w:val="none" w:color="FFFFFF" w:sz="0"/>
          <w:left w:val="none" w:color="FFFFFF" w:sz="0"/>
          <w:bottom w:val="single" w:color="16305C" w:sz="8"/>
          <w:right w:val="none" w:color="FFFFFF" w:sz="0"/>
          <w:insideH w:val="none" w:color="FFFFFF" w:sz="0"/>
          <w:insideV w:val="none" w:color="FFFFFF" w:sz="0"/>
        </w:tblBorders>
      </w:tblPr>
      <w:tblGrid>
        <w:gridCol w:w="560"/>
        <w:gridCol w:w="9480"/>
      </w:tblGrid>
      <w:tr>
        <w:tc>
          <w:tcPr>
            <w:tcW w:type="dxa" w:w="560"/>
            <w:shd w:fill="B8862E" w:color="auto" w:val="clear"/>
            <w:tcMar>
              <w:top w:type="dxa" w:w="90"/>
              <w:left w:type="dxa" w:w="0"/>
              <w:bottom w:type="dxa" w:w="90"/>
              <w:right w:type="dxa" w:w="0"/>
            </w:tcMar>
            <w:vAlign w:val="center"/>
          </w:tcPr>
          <w:p>
            <w:pPr>
              <w:jc w:val="center"/>
            </w:pPr>
            <w:r>
              <w:rPr>
                <w:b/>
                <w:bCs/>
                <w:color w:val="FFFFFF"/>
                <w:sz w:val="24"/>
                <w:szCs w:val="24"/>
              </w:rPr>
              <w:t xml:space="preserve">5</w:t>
            </w:r>
          </w:p>
        </w:tc>
        <w:tc>
          <w:tcPr>
            <w:tcW w:type="dxa" w:w="9480"/>
            <w:shd w:fill="FFFFFF" w:color="auto" w:val="clear"/>
            <w:tcMar>
              <w:top w:type="dxa" w:w="90"/>
              <w:left w:type="dxa" w:w="180"/>
              <w:bottom w:type="dxa" w:w="90"/>
              <w:right w:type="dxa" w:w="0"/>
            </w:tcMar>
            <w:vAlign w:val="center"/>
          </w:tcPr>
          <w:p>
            <w:r>
              <w:rPr>
                <w:b/>
                <w:bCs/>
                <w:caps/>
                <w:color w:val="16305C"/>
                <w:spacing w:val="12"/>
                <w:sz w:val="27"/>
                <w:szCs w:val="27"/>
              </w:rPr>
              <w:t xml:space="preserve">Resolution</w:t>
            </w:r>
          </w:p>
        </w:tc>
      </w:tr>
    </w:tbl>
    <w:p>
      <w:pPr>
        <w:spacing w:after="220"/>
      </w:pPr>
    </w:p>
    <w:p>
      <w:pPr>
        <w:pBdr>
          <w:left w:val="single" w:color="B8862E" w:sz="16" w:space="10"/>
        </w:pBdr>
        <w:spacing w:after="100" w:before="240"/>
        <w:ind w:left="40"/>
      </w:pPr>
      <w:r>
        <w:rPr>
          <w:b/>
          <w:bCs/>
          <w:caps/>
          <w:color w:val="16305C"/>
          <w:spacing w:val="8"/>
          <w:sz w:val="21"/>
          <w:szCs w:val="21"/>
        </w:rPr>
        <w:t xml:space="preserve">Corrective Actions Taken</w:t>
      </w:r>
    </w:p>
    <w:p>
      <w:pPr>
        <w:pStyle w:val="ListParagraph"/>
        <w:numPr>
          <w:ilvl w:val="0"/>
          <w:numId w:val="2"/>
        </w:numPr>
        <w:spacing w:after="80" w:line="280"/>
      </w:pPr>
      <w:r>
        <w:rPr>
          <w:color w:val="262626"/>
          <w:sz w:val="21"/>
          <w:szCs w:val="21"/>
        </w:rPr>
        <w:t xml:space="preserve">Using the EC2 Instance Connect browser terminal, removed the ro option from the instance's /etc/fstab entry and replaced it with the standard recommended rw NFS mount options for EFS.</w:t>
      </w:r>
    </w:p>
    <w:p>
      <w:pPr>
        <w:pStyle w:val="ListParagraph"/>
        <w:numPr>
          <w:ilvl w:val="0"/>
          <w:numId w:val="2"/>
        </w:numPr>
        <w:spacing w:after="80" w:line="280"/>
      </w:pPr>
      <w:r>
        <w:rPr>
          <w:color w:val="262626"/>
          <w:sz w:val="21"/>
          <w:szCs w:val="21"/>
        </w:rPr>
        <w:t xml:space="preserve">Unmounted and remounted the file system from the same browser terminal session to apply the corrected options immediately, without waiting for a reboot.</w:t>
      </w:r>
    </w:p>
    <w:p>
      <w:pPr>
        <w:pStyle w:val="ListParagraph"/>
        <w:numPr>
          <w:ilvl w:val="0"/>
          <w:numId w:val="2"/>
        </w:numPr>
        <w:spacing w:after="80" w:line="280"/>
      </w:pPr>
      <w:r>
        <w:rPr>
          <w:color w:val="262626"/>
          <w:sz w:val="21"/>
          <w:szCs w:val="21"/>
        </w:rPr>
        <w:t xml:space="preserve">Confirmed via the EFS console's Permissions and Access points tabs that the file system policy and Access Point root directory permissions allowed write access for the instance's IAM role.</w:t>
      </w:r>
    </w:p>
    <w:p>
      <w:pPr>
        <w:pStyle w:val="ListParagraph"/>
        <w:numPr>
          <w:ilvl w:val="0"/>
          <w:numId w:val="2"/>
        </w:numPr>
        <w:spacing w:after="80" w:line="280"/>
      </w:pPr>
      <w:r>
        <w:rPr>
          <w:color w:val="262626"/>
          <w:sz w:val="21"/>
          <w:szCs w:val="21"/>
        </w:rPr>
        <w:t xml:space="preserve">Confirmed via the EC2 console's Security Groups tab that NFS (port 2049) traffic was permitted in both directions between the instance and the mount target.</w:t>
      </w:r>
    </w:p>
    <w:p>
      <w:pPr>
        <w:pBdr>
          <w:left w:val="single" w:color="B8862E" w:sz="16" w:space="10"/>
        </w:pBdr>
        <w:spacing w:after="100" w:before="240"/>
        <w:ind w:left="40"/>
      </w:pPr>
      <w:r>
        <w:rPr>
          <w:b/>
          <w:bCs/>
          <w:caps/>
          <w:color w:val="16305C"/>
          <w:spacing w:val="8"/>
          <w:sz w:val="21"/>
          <w:szCs w:val="21"/>
        </w:rPr>
        <w:t xml:space="preserve">Validation Performed</w:t>
      </w:r>
    </w:p>
    <w:p>
      <w:pPr>
        <w:spacing w:after="40" w:before="100"/>
        <w:ind w:left="40"/>
      </w:pPr>
      <w:r>
        <w:rPr>
          <w:b/>
          <w:bCs/>
          <w:i/>
          <w:iCs/>
          <w:color w:val="B8862E"/>
          <w:spacing w:val="6"/>
          <w:sz w:val="17"/>
          <w:szCs w:val="17"/>
        </w:rPr>
        <w:t xml:space="preserve">INSIDE THE EC2 INSTANCE CONNECT BROWSER TERMINAL</w:t>
      </w:r>
    </w:p>
    <w:p>
      <w:pPr>
        <w:pBdr>
          <w:left w:val="single" w:color="16305C" w:sz="18" w:space="10"/>
        </w:pBdr>
        <w:shd w:fill="F4F2ED" w:color="auto" w:val="clear"/>
        <w:spacing w:after="10"/>
        <w:ind w:left="200"/>
      </w:pPr>
      <w:r>
        <w:rPr>
          <w:rFonts w:ascii="Consolas" w:cs="Consolas" w:eastAsia="Consolas" w:hAnsi="Consolas"/>
          <w:color w:val="1F1F1F"/>
          <w:sz w:val="19"/>
          <w:szCs w:val="19"/>
        </w:rPr>
        <w:t xml:space="preserve">sudo umount /mnt/efs</w:t>
      </w:r>
    </w:p>
    <w:p>
      <w:pPr>
        <w:pBdr>
          <w:left w:val="single" w:color="16305C" w:sz="18" w:space="10"/>
        </w:pBdr>
        <w:shd w:fill="F4F2ED" w:color="auto" w:val="clear"/>
        <w:spacing w:after="10"/>
        <w:ind w:left="200"/>
      </w:pPr>
      <w:r>
        <w:rPr>
          <w:rFonts w:ascii="Consolas" w:cs="Consolas" w:eastAsia="Consolas" w:hAnsi="Consolas"/>
          <w:color w:val="1F1F1F"/>
          <w:sz w:val="19"/>
          <w:szCs w:val="19"/>
        </w:rPr>
        <w:t xml:space="preserve">sudo mount -a</w:t>
      </w:r>
    </w:p>
    <w:p>
      <w:pPr>
        <w:pBdr>
          <w:left w:val="single" w:color="16305C" w:sz="18" w:space="10"/>
        </w:pBdr>
        <w:shd w:fill="F4F2ED" w:color="auto" w:val="clear"/>
        <w:spacing w:after="10"/>
        <w:ind w:left="200"/>
      </w:pPr>
      <w:r>
        <w:rPr>
          <w:rFonts w:ascii="Consolas" w:cs="Consolas" w:eastAsia="Consolas" w:hAnsi="Consolas"/>
          <w:color w:val="1F1F1F"/>
          <w:sz w:val="19"/>
          <w:szCs w:val="19"/>
        </w:rPr>
        <w:t xml:space="preserve">mount | grep efs</w:t>
      </w:r>
    </w:p>
    <w:p>
      <w:pPr>
        <w:pBdr>
          <w:left w:val="single" w:color="16305C" w:sz="18" w:space="10"/>
        </w:pBdr>
        <w:shd w:fill="F4F2ED" w:color="auto" w:val="clear"/>
        <w:spacing w:after="160"/>
        <w:ind w:left="200"/>
      </w:pPr>
      <w:r>
        <w:rPr>
          <w:rFonts w:ascii="Consolas" w:cs="Consolas" w:eastAsia="Consolas" w:hAnsi="Consolas"/>
          <w:color w:val="1F1F1F"/>
          <w:sz w:val="19"/>
          <w:szCs w:val="19"/>
        </w:rPr>
        <w:t xml:space="preserve">touch /mnt/efs/validate-write.txt &amp;&amp; echo "write ok" &amp;&amp; rm /mnt/efs/validate-write.txt</w:t>
      </w:r>
    </w:p>
    <w:p>
      <w:pPr>
        <w:pStyle w:val="ListParagraph"/>
        <w:numPr>
          <w:ilvl w:val="0"/>
          <w:numId w:val="2"/>
        </w:numPr>
        <w:spacing w:after="80" w:line="280"/>
      </w:pPr>
      <w:r>
        <w:rPr>
          <w:color w:val="262626"/>
          <w:sz w:val="21"/>
          <w:szCs w:val="21"/>
        </w:rPr>
        <w:t xml:space="preserve">Repeated the write test successfully after remounting, confirming the read-only condition was resolved.</w:t>
      </w:r>
    </w:p>
    <w:p>
      <w:pPr>
        <w:pStyle w:val="ListParagraph"/>
        <w:numPr>
          <w:ilvl w:val="0"/>
          <w:numId w:val="2"/>
        </w:numPr>
        <w:spacing w:after="80" w:line="280"/>
      </w:pPr>
      <w:r>
        <w:rPr>
          <w:color w:val="262626"/>
          <w:sz w:val="21"/>
          <w:szCs w:val="21"/>
        </w:rPr>
        <w:t xml:space="preserve">Checked application logs, via the same browser terminal, to confirm the previously failing write operations now complete successfully.</w:t>
      </w:r>
    </w:p>
    <w:p>
      <w:pPr>
        <w:spacing w:after="220"/>
      </w:pPr>
    </w:p>
    <w:tbl>
      <w:tblPr>
        <w:tblW w:type="dxa" w:w="10040"/>
        <w:tblBorders>
          <w:top w:val="none" w:color="FFFFFF" w:sz="0"/>
          <w:left w:val="none" w:color="FFFFFF" w:sz="0"/>
          <w:bottom w:val="single" w:color="16305C" w:sz="8"/>
          <w:right w:val="none" w:color="FFFFFF" w:sz="0"/>
          <w:insideH w:val="none" w:color="FFFFFF" w:sz="0"/>
          <w:insideV w:val="none" w:color="FFFFFF" w:sz="0"/>
        </w:tblBorders>
      </w:tblPr>
      <w:tblGrid>
        <w:gridCol w:w="560"/>
        <w:gridCol w:w="9480"/>
      </w:tblGrid>
      <w:tr>
        <w:tc>
          <w:tcPr>
            <w:tcW w:type="dxa" w:w="560"/>
            <w:shd w:fill="B8862E" w:color="auto" w:val="clear"/>
            <w:tcMar>
              <w:top w:type="dxa" w:w="90"/>
              <w:left w:type="dxa" w:w="0"/>
              <w:bottom w:type="dxa" w:w="90"/>
              <w:right w:type="dxa" w:w="0"/>
            </w:tcMar>
            <w:vAlign w:val="center"/>
          </w:tcPr>
          <w:p>
            <w:pPr>
              <w:jc w:val="center"/>
            </w:pPr>
            <w:r>
              <w:rPr>
                <w:b/>
                <w:bCs/>
                <w:color w:val="FFFFFF"/>
                <w:sz w:val="24"/>
                <w:szCs w:val="24"/>
              </w:rPr>
              <w:t xml:space="preserve">6</w:t>
            </w:r>
          </w:p>
        </w:tc>
        <w:tc>
          <w:tcPr>
            <w:tcW w:type="dxa" w:w="9480"/>
            <w:shd w:fill="FFFFFF" w:color="auto" w:val="clear"/>
            <w:tcMar>
              <w:top w:type="dxa" w:w="90"/>
              <w:left w:type="dxa" w:w="180"/>
              <w:bottom w:type="dxa" w:w="90"/>
              <w:right w:type="dxa" w:w="0"/>
            </w:tcMar>
            <w:vAlign w:val="center"/>
          </w:tcPr>
          <w:p>
            <w:r>
              <w:rPr>
                <w:b/>
                <w:bCs/>
                <w:caps/>
                <w:color w:val="16305C"/>
                <w:spacing w:val="12"/>
                <w:sz w:val="27"/>
                <w:szCs w:val="27"/>
              </w:rPr>
              <w:t xml:space="preserve">Rollback Plan</w:t>
            </w:r>
          </w:p>
        </w:tc>
      </w:tr>
    </w:tbl>
    <w:p>
      <w:pPr>
        <w:spacing w:after="220"/>
      </w:pPr>
    </w:p>
    <w:p>
      <w:pPr>
        <w:pBdr>
          <w:left w:val="single" w:color="B8862E" w:sz="16" w:space="10"/>
        </w:pBdr>
        <w:spacing w:after="100" w:before="240"/>
        <w:ind w:left="40"/>
      </w:pPr>
      <w:r>
        <w:rPr>
          <w:b/>
          <w:bCs/>
          <w:caps/>
          <w:color w:val="16305C"/>
          <w:spacing w:val="8"/>
          <w:sz w:val="21"/>
          <w:szCs w:val="21"/>
        </w:rPr>
        <w:t xml:space="preserve">Recovery Actions</w:t>
      </w:r>
    </w:p>
    <w:p>
      <w:pPr>
        <w:pStyle w:val="ListParagraph"/>
        <w:numPr>
          <w:ilvl w:val="0"/>
          <w:numId w:val="2"/>
        </w:numPr>
        <w:spacing w:after="80" w:line="280"/>
      </w:pPr>
      <w:r>
        <w:rPr>
          <w:color w:val="262626"/>
          <w:sz w:val="21"/>
          <w:szCs w:val="21"/>
        </w:rPr>
        <w:t xml:space="preserve">If the corrected mount needs to be paused, remount with -o remount,ro temporarily rather than reverting fstab, so the change can be undone without a reboot.</w:t>
      </w:r>
    </w:p>
    <w:p>
      <w:pPr>
        <w:pStyle w:val="ListParagraph"/>
        <w:numPr>
          <w:ilvl w:val="0"/>
          <w:numId w:val="2"/>
        </w:numPr>
        <w:spacing w:after="80" w:line="280"/>
      </w:pPr>
      <w:r>
        <w:rPr>
          <w:color w:val="262626"/>
          <w:sz w:val="21"/>
          <w:szCs w:val="21"/>
        </w:rPr>
        <w:t xml:space="preserve">Retain a copy of the original /etc/fstab entry taken before editing, so the exact prior configuration can be restored if needed.</w:t>
      </w:r>
    </w:p>
    <w:p>
      <w:pPr>
        <w:pStyle w:val="ListParagraph"/>
        <w:numPr>
          <w:ilvl w:val="0"/>
          <w:numId w:val="2"/>
        </w:numPr>
        <w:spacing w:after="80" w:line="280"/>
      </w:pPr>
      <w:r>
        <w:rPr>
          <w:color w:val="262626"/>
          <w:sz w:val="21"/>
          <w:szCs w:val="21"/>
        </w:rPr>
        <w:t xml:space="preserve">If the root cause turns out to be policy-related rather than mount-option-related, revert the EFS file system policy or Access Point change using the version recorded before the fix.</w:t>
      </w:r>
    </w:p>
    <w:p>
      <w:pPr>
        <w:pBdr>
          <w:left w:val="single" w:color="B8862E" w:sz="16" w:space="10"/>
        </w:pBdr>
        <w:spacing w:after="100" w:before="240"/>
        <w:ind w:left="40"/>
      </w:pPr>
      <w:r>
        <w:rPr>
          <w:b/>
          <w:bCs/>
          <w:caps/>
          <w:color w:val="16305C"/>
          <w:spacing w:val="8"/>
          <w:sz w:val="21"/>
          <w:szCs w:val="21"/>
        </w:rPr>
        <w:t xml:space="preserve">Backup Verification</w:t>
      </w:r>
    </w:p>
    <w:p>
      <w:pPr>
        <w:pStyle w:val="ListParagraph"/>
        <w:numPr>
          <w:ilvl w:val="0"/>
          <w:numId w:val="2"/>
        </w:numPr>
        <w:spacing w:after="80" w:line="280"/>
      </w:pPr>
      <w:r>
        <w:rPr>
          <w:color w:val="262626"/>
          <w:sz w:val="21"/>
          <w:szCs w:val="21"/>
        </w:rPr>
        <w:t xml:space="preserve">Confirm no data was lost or overwritten during the remount, since remounting does not affect data already written to the file system.</w:t>
      </w:r>
    </w:p>
    <w:p>
      <w:pPr>
        <w:pStyle w:val="ListParagraph"/>
        <w:numPr>
          <w:ilvl w:val="0"/>
          <w:numId w:val="2"/>
        </w:numPr>
        <w:spacing w:after="80" w:line="280"/>
      </w:pPr>
      <w:r>
        <w:rPr>
          <w:color w:val="262626"/>
          <w:sz w:val="21"/>
          <w:szCs w:val="21"/>
        </w:rPr>
        <w:t xml:space="preserve">Verify existing files and directory structure on the EFS file system remain intact and accessible from all mounted instances.</w:t>
      </w:r>
    </w:p>
    <w:p>
      <w:pPr>
        <w:pStyle w:val="ListParagraph"/>
        <w:numPr>
          <w:ilvl w:val="0"/>
          <w:numId w:val="2"/>
        </w:numPr>
        <w:spacing w:after="80" w:line="280"/>
      </w:pPr>
      <w:r>
        <w:rPr>
          <w:color w:val="262626"/>
          <w:sz w:val="21"/>
          <w:szCs w:val="21"/>
        </w:rPr>
        <w:t xml:space="preserve">Confirm EFS's own automatic backups (if AWS Backup is enabled for the file system) completed successfully around the time of the change.</w:t>
      </w:r>
    </w:p>
    <w:p>
      <w:pPr>
        <w:spacing w:after="220"/>
      </w:pPr>
    </w:p>
    <w:tbl>
      <w:tblPr>
        <w:tblW w:type="dxa" w:w="10040"/>
        <w:tblBorders>
          <w:top w:val="none" w:color="FFFFFF" w:sz="0"/>
          <w:left w:val="none" w:color="FFFFFF" w:sz="0"/>
          <w:bottom w:val="single" w:color="16305C" w:sz="8"/>
          <w:right w:val="none" w:color="FFFFFF" w:sz="0"/>
          <w:insideH w:val="none" w:color="FFFFFF" w:sz="0"/>
          <w:insideV w:val="none" w:color="FFFFFF" w:sz="0"/>
        </w:tblBorders>
      </w:tblPr>
      <w:tblGrid>
        <w:gridCol w:w="560"/>
        <w:gridCol w:w="9480"/>
      </w:tblGrid>
      <w:tr>
        <w:tc>
          <w:tcPr>
            <w:tcW w:type="dxa" w:w="560"/>
            <w:shd w:fill="B8862E" w:color="auto" w:val="clear"/>
            <w:tcMar>
              <w:top w:type="dxa" w:w="90"/>
              <w:left w:type="dxa" w:w="0"/>
              <w:bottom w:type="dxa" w:w="90"/>
              <w:right w:type="dxa" w:w="0"/>
            </w:tcMar>
            <w:vAlign w:val="center"/>
          </w:tcPr>
          <w:p>
            <w:pPr>
              <w:jc w:val="center"/>
            </w:pPr>
            <w:r>
              <w:rPr>
                <w:b/>
                <w:bCs/>
                <w:color w:val="FFFFFF"/>
                <w:sz w:val="24"/>
                <w:szCs w:val="24"/>
              </w:rPr>
              <w:t xml:space="preserve">7</w:t>
            </w:r>
          </w:p>
        </w:tc>
        <w:tc>
          <w:tcPr>
            <w:tcW w:type="dxa" w:w="9480"/>
            <w:shd w:fill="FFFFFF" w:color="auto" w:val="clear"/>
            <w:tcMar>
              <w:top w:type="dxa" w:w="90"/>
              <w:left w:type="dxa" w:w="180"/>
              <w:bottom w:type="dxa" w:w="90"/>
              <w:right w:type="dxa" w:w="0"/>
            </w:tcMar>
            <w:vAlign w:val="center"/>
          </w:tcPr>
          <w:p>
            <w:r>
              <w:rPr>
                <w:b/>
                <w:bCs/>
                <w:caps/>
                <w:color w:val="16305C"/>
                <w:spacing w:val="12"/>
                <w:sz w:val="27"/>
                <w:szCs w:val="27"/>
              </w:rPr>
              <w:t xml:space="preserve">Preventive Measures</w:t>
            </w:r>
          </w:p>
        </w:tc>
      </w:tr>
    </w:tbl>
    <w:p>
      <w:pPr>
        <w:spacing w:after="220"/>
      </w:pPr>
    </w:p>
    <w:p>
      <w:pPr>
        <w:pBdr>
          <w:left w:val="single" w:color="B8862E" w:sz="16" w:space="10"/>
        </w:pBdr>
        <w:spacing w:after="100" w:before="240"/>
        <w:ind w:left="40"/>
      </w:pPr>
      <w:r>
        <w:rPr>
          <w:b/>
          <w:bCs/>
          <w:caps/>
          <w:color w:val="16305C"/>
          <w:spacing w:val="8"/>
          <w:sz w:val="21"/>
          <w:szCs w:val="21"/>
        </w:rPr>
        <w:t xml:space="preserve">Monitoring Configuration</w:t>
      </w:r>
    </w:p>
    <w:p>
      <w:pPr>
        <w:pStyle w:val="ListParagraph"/>
        <w:numPr>
          <w:ilvl w:val="0"/>
          <w:numId w:val="2"/>
        </w:numPr>
        <w:spacing w:after="80" w:line="280"/>
      </w:pPr>
      <w:r>
        <w:rPr>
          <w:color w:val="262626"/>
          <w:sz w:val="21"/>
          <w:szCs w:val="21"/>
        </w:rPr>
        <w:t xml:space="preserve">Add a CloudWatch dashboard tracking EFS ClientConnections and permission-denied activity to catch access issues early.</w:t>
      </w:r>
    </w:p>
    <w:p>
      <w:pPr>
        <w:pStyle w:val="ListParagraph"/>
        <w:numPr>
          <w:ilvl w:val="0"/>
          <w:numId w:val="2"/>
        </w:numPr>
        <w:spacing w:after="80" w:line="280"/>
      </w:pPr>
      <w:r>
        <w:rPr>
          <w:color w:val="262626"/>
          <w:sz w:val="21"/>
          <w:szCs w:val="21"/>
        </w:rPr>
        <w:t xml:space="preserve">Periodically audit /etc/fstab across all instances mounting shared EFS file systems to catch configuration drift.</w:t>
      </w:r>
    </w:p>
    <w:p>
      <w:pPr>
        <w:pBdr>
          <w:left w:val="single" w:color="B8862E" w:sz="16" w:space="10"/>
        </w:pBdr>
        <w:spacing w:after="100" w:before="240"/>
        <w:ind w:left="40"/>
      </w:pPr>
      <w:r>
        <w:rPr>
          <w:b/>
          <w:bCs/>
          <w:caps/>
          <w:color w:val="16305C"/>
          <w:spacing w:val="8"/>
          <w:sz w:val="21"/>
          <w:szCs w:val="21"/>
        </w:rPr>
        <w:t xml:space="preserve">Alerting Configuration</w:t>
      </w:r>
    </w:p>
    <w:p>
      <w:pPr>
        <w:pStyle w:val="ListParagraph"/>
        <w:numPr>
          <w:ilvl w:val="0"/>
          <w:numId w:val="2"/>
        </w:numPr>
        <w:spacing w:after="80" w:line="280"/>
      </w:pPr>
      <w:r>
        <w:rPr>
          <w:color w:val="262626"/>
          <w:sz w:val="21"/>
          <w:szCs w:val="21"/>
        </w:rPr>
        <w:t xml:space="preserve">Create an alert for repeated “Read-only file system” errors surfaced in application or system logs across instances.</w:t>
      </w:r>
    </w:p>
    <w:p>
      <w:pPr>
        <w:pStyle w:val="ListParagraph"/>
        <w:numPr>
          <w:ilvl w:val="0"/>
          <w:numId w:val="2"/>
        </w:numPr>
        <w:spacing w:after="80" w:line="280"/>
      </w:pPr>
      <w:r>
        <w:rPr>
          <w:color w:val="262626"/>
          <w:sz w:val="21"/>
          <w:szCs w:val="21"/>
        </w:rPr>
        <w:t xml:space="preserve">Alert on any change to the EFS file system policy or Access Point configuration via a CloudTrail-based EventBridge rule.</w:t>
      </w:r>
    </w:p>
    <w:p>
      <w:pPr>
        <w:pBdr>
          <w:left w:val="single" w:color="B8862E" w:sz="16" w:space="10"/>
        </w:pBdr>
        <w:spacing w:after="100" w:before="240"/>
        <w:ind w:left="40"/>
      </w:pPr>
      <w:r>
        <w:rPr>
          <w:b/>
          <w:bCs/>
          <w:caps/>
          <w:color w:val="16305C"/>
          <w:spacing w:val="8"/>
          <w:sz w:val="21"/>
          <w:szCs w:val="21"/>
        </w:rPr>
        <w:t xml:space="preserve">Security Improvements</w:t>
      </w:r>
    </w:p>
    <w:p>
      <w:pPr>
        <w:pStyle w:val="ListParagraph"/>
        <w:numPr>
          <w:ilvl w:val="0"/>
          <w:numId w:val="2"/>
        </w:numPr>
        <w:spacing w:after="80" w:line="280"/>
      </w:pPr>
      <w:r>
        <w:rPr>
          <w:color w:val="262626"/>
          <w:sz w:val="21"/>
          <w:szCs w:val="21"/>
        </w:rPr>
        <w:t xml:space="preserve">Standardize EFS mount configuration using a shared IaC template (Terraform/CloudFormation) or user-data script, instead of manual /etc/fstab edits, so all instances stay consistent.</w:t>
      </w:r>
    </w:p>
    <w:p>
      <w:pPr>
        <w:pStyle w:val="ListParagraph"/>
        <w:numPr>
          <w:ilvl w:val="0"/>
          <w:numId w:val="2"/>
        </w:numPr>
        <w:spacing w:after="80" w:line="280"/>
      </w:pPr>
      <w:r>
        <w:rPr>
          <w:color w:val="262626"/>
          <w:sz w:val="21"/>
          <w:szCs w:val="21"/>
        </w:rPr>
        <w:t xml:space="preserve">Document intended read-only vs. read-write use cases per Access Point, and restrict who can modify Access Point root directory permissions.</w:t>
      </w:r>
    </w:p>
    <w:p>
      <w:pPr>
        <w:pStyle w:val="ListParagraph"/>
        <w:numPr>
          <w:ilvl w:val="0"/>
          <w:numId w:val="2"/>
        </w:numPr>
        <w:spacing w:after="80" w:line="280"/>
      </w:pPr>
      <w:r>
        <w:rPr>
          <w:color w:val="262626"/>
          <w:sz w:val="21"/>
          <w:szCs w:val="21"/>
        </w:rPr>
        <w:t xml:space="preserve">Use EFS Access Points with explicit POSIX permissions per application, rather than relying solely on instance-level mount flags, to keep the intended access mode explicit and auditable.</w:t>
      </w:r>
    </w:p>
    <w:sectPr>
      <w:headerReference w:type="default" r:id="rId7"/>
      <w:footerReference w:type="default" r:id="rId8"/>
      <w:pgSz w:w="12240" w:h="15840" w:orient="portrait"/>
      <w:pgMar w:top="115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2C2" w:sz="6" w:space="6"/>
      </w:pBdr>
      <w:tabs>
        <w:tab w:val="right" w:pos="9026"/>
      </w:tabs>
    </w:pPr>
    <w:r>
      <w:rPr>
        <w:color w:val="6E6E6E"/>
        <w:sz w:val="16"/>
        <w:szCs w:val="16"/>
      </w:rPr>
      <w:t xml:space="preserve">SOP-AWS-EFS-005  ·  EFS Read-Only (Console Edition)</w:t>
    </w:r>
    <w:r>
      <w:rPr>
        <w:color w:val="6E6E6E"/>
        <w:sz w:val="16"/>
        <w:szCs w:val="16"/>
      </w:rPr>
      <w:t xml:space="preserve">Page </w:t>
    </w:r>
    <w:r>
      <w:rPr>
        <w:color w:val="6E6E6E"/>
        <w:sz w:val="16"/>
        <w:szCs w:val="16"/>
      </w:rPr>
      <w:fldChar w:fldCharType="begin"/>
      <w:instrText xml:space="preserve">PAGE</w:instrText>
      <w:fldChar w:fldCharType="separate"/>
      <w:fldChar w:fldCharType="end"/>
    </w:r>
    <w:r>
      <w:rPr>
        <w:color w:val="6E6E6E"/>
        <w:sz w:val="16"/>
        <w:szCs w:val="16"/>
      </w:rPr>
      <w:t xml:space="preserve"> of </w:t>
    </w:r>
    <w:r>
      <w:rPr>
        <w:color w:val="6E6E6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2C2" w:sz="6" w:space="6"/>
      </w:pBdr>
      <w:tabs>
        <w:tab w:val="right" w:pos="9026"/>
      </w:tabs>
    </w:pPr>
    <w:r>
      <w:rPr>
        <w:b/>
        <w:bCs/>
        <w:color w:val="16305C"/>
        <w:spacing w:val="10"/>
        <w:sz w:val="16"/>
        <w:szCs w:val="16"/>
      </w:rPr>
      <w:t xml:space="preserve">ABC TECHNOLOGIES</w:t>
    </w:r>
    <w:r>
      <w:rPr>
        <w:i/>
        <w:iCs/>
        <w:color w:val="6E6E6E"/>
        <w:sz w:val="16"/>
        <w:szCs w:val="16"/>
      </w:rPr>
      <w:t xml:space="preserve">	EFS Read-Only SOP (Console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b/>
        <w:bCs/>
        <w:color w:val="B886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2026-07-22T04:06:30.769Z</dcterms:created>
  <dcterms:modified xsi:type="dcterms:W3CDTF">2026-07-22T04:06:30.769Z</dcterms:modified>
</cp:coreProperties>
</file>

<file path=docProps/custom.xml><?xml version="1.0" encoding="utf-8"?>
<Properties xmlns="http://schemas.openxmlformats.org/officeDocument/2006/custom-properties" xmlns:vt="http://schemas.openxmlformats.org/officeDocument/2006/docPropsVTypes"/>
</file>