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r>
        <w:rPr>
          <w:rFonts w:ascii="Calibri" w:cs="Calibri" w:eastAsia="Calibri" w:hAnsi="Calibri"/>
          <w:b/>
          <w:bCs/>
          <w:color w:val="9C7A17"/>
          <w:spacing w:val="40"/>
          <w:sz w:val="22"/>
          <w:szCs w:val="22"/>
        </w:rPr>
        <w:t xml:space="preserve">WEALTHWIZARD</w:t>
      </w:r>
    </w:p>
    <w:p>
      <w:pPr>
        <w:spacing w:before="200"/>
      </w:pPr>
      <w:r>
        <w:rPr>
          <w:rFonts w:ascii="Cambria" w:cs="Cambria" w:eastAsia="Cambria" w:hAnsi="Cambria"/>
          <w:b/>
          <w:bCs/>
          <w:color w:val="0D1B2A"/>
          <w:sz w:val="52"/>
          <w:szCs w:val="52"/>
        </w:rPr>
        <w:t xml:space="preserve">Dashboard Documentation</w:t>
      </w:r>
    </w:p>
    <w:p>
      <w:pPr>
        <w:spacing w:after="100" w:before="60"/>
      </w:pPr>
      <w:r>
        <w:rPr>
          <w:rFonts w:ascii="Cambria" w:cs="Cambria" w:eastAsia="Cambria" w:hAnsi="Cambria"/>
          <w:color w:val="5B6B7D"/>
          <w:sz w:val="26"/>
          <w:szCs w:val="26"/>
        </w:rPr>
        <w:t xml:space="preserve">Application Layer — Frontend, API &amp; AI Integration</w:t>
      </w:r>
    </w:p>
    <w:p>
      <w:pPr>
        <w:pBdr>
          <w:bottom w:val="single" w:color="9C7A17" w:sz="10" w:space="1"/>
        </w:pBdr>
        <w:spacing w:after="300" w:before="300"/>
      </w:pPr>
      <w:r>
        <w:rPr>
          <w:sz w:val="2"/>
          <w:szCs w:val="2"/>
        </w:rPr>
        <w:t xml:space="preserve">  </w:t>
      </w:r>
    </w:p>
    <w:p>
      <w:pPr>
        <w:spacing w:before="1600"/>
      </w:pPr>
      <w:r>
        <w:rPr>
          <w:rFonts w:ascii="Calibri" w:cs="Calibri" w:eastAsia="Calibri" w:hAnsi="Calibri"/>
          <w:b/>
          <w:bCs/>
          <w:color w:val="0D1B2A"/>
          <w:sz w:val="21"/>
          <w:szCs w:val="21"/>
        </w:rPr>
        <w:t xml:space="preserve">Team WealthWizard</w:t>
      </w:r>
    </w:p>
    <w:p>
      <w:r>
        <w:rPr>
          <w:rFonts w:ascii="Calibri" w:cs="Calibri" w:eastAsia="Calibri" w:hAnsi="Calibri"/>
          <w:color w:val="5B6B7D"/>
          <w:sz w:val="19"/>
          <w:szCs w:val="19"/>
        </w:rPr>
        <w:t xml:space="preserve">September 17,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Team &amp; Roles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Darwin Francis 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Dashboard delivery, user access, overall architecture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Jashwanth Praneeth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Data Ingestion Engineer</w:t>
            </w:r>
          </w:p>
        </w:tc>
        <w:tc>
          <w:tcPr>
            <w:tcW w:type="dxa" w:w="43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Supplied the raw data the dashboard ultimately displays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Kolla Chandhana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Data Quality Engineer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Validation logic underlying dashboard accuracy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Nagolu Srilekha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Data Modeling Engineer</w:t>
            </w:r>
          </w:p>
        </w:tc>
        <w:tc>
          <w:tcPr>
            <w:tcW w:type="dxa" w:w="43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Mart and analytics views the dashboard queries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Songa Rishitha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Cloud Storage Engineer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S3 pipeline feeding the dashboard's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1.  Overview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WealthWizard is presented through two independent dashboards — a React application and a Python/Streamlit application — both consuming the same Snowflake mart and analytics layers, proving the backend data model is genuinely reusable rather than tied to one frontend's assumptions.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68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Primary dashboard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React + Vite, Recharts</w:t>
            </w:r>
          </w:p>
        </w:tc>
      </w:tr>
      <w:tr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Node.js + Express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Alternate dashboard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Python + Streamlit</w:t>
            </w:r>
          </w:p>
        </w:tc>
      </w:tr>
      <w:tr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468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Google Gemini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2.  Design System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The React dashboard follows an “ink-ledger” visual identity — deep navy backgrounds, gold accents, and tabular monospace numerals throughout, since a finance dashboard is fundamentally a digitized ledger. The signature element is a wax-seal-style circular status stamp used consistently for budget states (on track / watch / over).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3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Colors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Navy background, gold accent, sage (positive), rust (alerts)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Typography</w:t>
            </w:r>
          </w:p>
        </w:tc>
        <w:tc>
          <w:tcPr>
            <w:tcW w:type="dxa" w:w="63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Serif display headings, monospace numerals for all figures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Currency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Indian Rupee (₹) formatting throughout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Signature motif</w:t>
            </w:r>
          </w:p>
        </w:tc>
        <w:tc>
          <w:tcPr>
            <w:tcW w:type="dxa" w:w="63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Wax-seal status stamps for budget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3.  Feature Walkthrough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7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Overview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Income, expense, net savings, budget health, 6-month trend, category breakdown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67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Searchable, category-filterable transaction ledger for the selected period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Budgets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Limit vs. actual spend per category, with status stamps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Insights</w:t>
            </w:r>
          </w:p>
        </w:tc>
        <w:tc>
          <w:tcPr>
            <w:tcW w:type="dxa" w:w="67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AI-ranked findings — overspend alerts, trends, savings opportunities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Full spending breakdown chart for the period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A month selector dynamically reflects only the periods a given logged-in user actually has data for, rather than a fixed list — correcting an earlier version that assumed a hardcoded period and produced blank figures for users whose real data fell elsewhere in the timeline.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4.  AI Assistant — Ask WealthWizard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A natural-language panel lets a user ask about their own finances in plain English. The flow is grounded, not generative-only: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The user's question is sent to the backend, never directly to Gemini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The backend queries Snowflake for that user's real summary, budgets, and insights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That data becomes grounding context in the Gemini prompt, with an instruction to answer only from the provided figures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The response is returned and tagged ‘Live — Gemini’ or ‘Demo answer’ in the interface, so it is never ambiguous whether an answer is real or a fallback</w:t>
      </w:r>
    </w:p>
    <w:tbl>
      <w:tblPr>
        <w:tblW w:type="pct" w:w="100%"/>
        <w:tblBorders>
          <w:top w:val="single" w:color="9C7A17" w:sz="4"/>
          <w:left w:val="single" w:color="9C7A17" w:sz="4"/>
          <w:bottom w:val="single" w:color="9C7A17" w:sz="4"/>
          <w:right w:val="single" w:color="9C7A17" w:sz="4"/>
          <w:insideH w:val="none"/>
          <w:insideV w:val="none"/>
        </w:tblBorders>
      </w:tblPr>
      <w:tblGrid>
        <w:gridCol w:w="100"/>
      </w:tblGrid>
      <w:tr>
        <w:tc>
          <w:tcPr>
            <w:shd w:fill="F4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7A17"/>
                <w:spacing w:val="20"/>
                <w:sz w:val="18"/>
                <w:szCs w:val="18"/>
              </w:rPr>
              <w:t xml:space="preserve">SECURITY NOTE</w:t>
            </w:r>
          </w:p>
          <w:p>
            <w:r>
              <w:rPr>
                <w:rFonts w:ascii="Calibri" w:cs="Calibri" w:eastAsia="Calibri" w:hAnsi="Calibri"/>
                <w:color w:val="3A3220"/>
                <w:sz w:val="21"/>
                <w:szCs w:val="21"/>
              </w:rPr>
              <w:t xml:space="preserve">Snowflake credentials and the Gemini API key exist only in the backend. The browser never communicates with either service directly.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5.  Backend API Reference</w:t>
      </w:r>
    </w:p>
    <w:tbl>
      <w:tblPr>
        <w:tblW w:type="dxa" w:w="9360"/>
        <w:tblBorders>
          <w:top w:val="single" w:color="D5DAE1" w:sz="2"/>
          <w:left w:val="single" w:color="D5DAE1" w:sz="2"/>
          <w:bottom w:val="single" w:color="D5DAE1" w:sz="2"/>
          <w:right w:val="single" w:color="D5DAE1" w:sz="2"/>
          <w:insideH w:val="single" w:color="D5DAE1" w:sz="2"/>
          <w:insideV w:val="single" w:color="D5DAE1" w:sz="2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/api/periods/:userId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Periods this user genuinely has data for</w:t>
            </w:r>
          </w:p>
        </w:tc>
      </w:tr>
      <w:tr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/api/summary/:userId/:period</w:t>
            </w:r>
          </w:p>
        </w:tc>
        <w:tc>
          <w:tcPr>
            <w:tcW w:type="dxa" w:w="5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Income, expense, net savings, budget health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/api/categories/:userId/:period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Category spend breakdown</w:t>
            </w:r>
          </w:p>
        </w:tc>
      </w:tr>
      <w:tr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/api/trend/:userId</w:t>
            </w:r>
          </w:p>
        </w:tc>
        <w:tc>
          <w:tcPr>
            <w:tcW w:type="dxa" w:w="5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6-month income/expense trend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/api/budgets/:userId/:period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Budget limits and actual spend</w:t>
            </w:r>
          </w:p>
        </w:tc>
      </w:tr>
      <w:tr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/api/insights/:userId</w:t>
            </w:r>
          </w:p>
        </w:tc>
        <w:tc>
          <w:tcPr>
            <w:tcW w:type="dxa" w:w="5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Ranked AI-generated insights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/api/transactions/:userId/:period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Transaction ledger</w:t>
            </w:r>
          </w:p>
        </w:tc>
      </w:tr>
      <w:tr>
        <w:tc>
          <w:tcPr>
            <w:tcW w:type="dxa" w:w="4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GET /api/profile/:userId</w:t>
            </w:r>
          </w:p>
        </w:tc>
        <w:tc>
          <w:tcPr>
            <w:tcW w:type="dxa" w:w="516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User display name and location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POST /api/ai/ask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4303D"/>
                <w:sz w:val="19"/>
                <w:szCs w:val="19"/>
              </w:rPr>
              <w:t xml:space="preserve">Natural-language question, grounded in real data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Every query uses bind parameters, never string concatenation — the standard defense against SQL injection.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6.  Alternate Dashboard — Streamlit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A second, independently built dashboard in Python/Streamlit consumes the same Mart and Analytics schemas, deployable both to Streamlit Community Cloud and natively inside Snowflake. Its AI assistant takes a different, more advanced approach: rather than the backend pre-writing fixed queries, Gemini generates its own SQL, which is then validated — blocked from DDL/DML, forced to include a row limit, and scoped to the asking user — before it runs.</w:t>
      </w:r>
    </w:p>
    <w:p>
      <w:pPr>
        <w:spacing w:after="160" w:line="300"/>
      </w:pPr>
      <w:r>
        <w:rPr>
          <w:rFonts w:ascii="Calibri" w:cs="Calibri" w:eastAsia="Calibri" w:hAnsi="Calibri"/>
          <w:color w:val="24303D"/>
          <w:sz w:val="22"/>
          <w:szCs w:val="22"/>
        </w:rPr>
        <w:t xml:space="preserve">This second implementation independently confirmed two data-quality findings also seen in the React dashboard, which is documented in the companion Database Documentation.</w:t>
      </w:r>
    </w:p>
    <w:p>
      <w:r>
        <w:br w:type="page"/>
      </w:r>
    </w:p>
    <w:p>
      <w:pPr>
        <w:pStyle w:val="Heading1"/>
        <w:pBdr>
          <w:bottom w:val="single" w:color="9C7A17" w:sz="6" w:space="6"/>
        </w:pBdr>
        <w:spacing w:after="200" w:before="480"/>
      </w:pPr>
      <w:r>
        <w:rPr>
          <w:rFonts w:ascii="Cambria" w:cs="Cambria" w:eastAsia="Cambria" w:hAnsi="Cambria"/>
          <w:b/>
          <w:bCs/>
          <w:color w:val="0D1B2A"/>
          <w:sz w:val="30"/>
          <w:szCs w:val="30"/>
        </w:rPr>
        <w:t xml:space="preserve">7.  Security Considerations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Login is ID-based and explicitly not a security boundary — documented plainly in the interface itself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All Snowflake and Gemini credentials remain server-side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Every SQL query is parameterized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24303D"/>
          <w:sz w:val="21"/>
          <w:szCs w:val="21"/>
        </w:rPr>
        <w:t xml:space="preserve">The Streamlit AI agent additionally guards any model-generated SQL before execution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7D"/>
        <w:sz w:val="16"/>
        <w:szCs w:val="16"/>
      </w:rPr>
      <w:t xml:space="preserve">WealthWizard · Dashboard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2026-09-17T04:10:48.185Z</dcterms:created>
  <dcterms:modified xsi:type="dcterms:W3CDTF">2026-09-17T04:10:48.186Z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