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r>
        <w:rPr>
          <w:rFonts w:ascii="Calibri" w:cs="Calibri" w:eastAsia="Calibri" w:hAnsi="Calibri"/>
          <w:b/>
          <w:bCs/>
          <w:color w:val="9C7A17"/>
          <w:spacing w:val="40"/>
          <w:sz w:val="22"/>
          <w:szCs w:val="22"/>
        </w:rPr>
        <w:t xml:space="preserve">WEALTHWIZARD</w:t>
      </w:r>
    </w:p>
    <w:p>
      <w:pPr>
        <w:spacing w:before="200"/>
      </w:pPr>
      <w:r>
        <w:rPr>
          <w:rFonts w:ascii="Cambria" w:cs="Cambria" w:eastAsia="Cambria" w:hAnsi="Cambria"/>
          <w:b/>
          <w:bCs/>
          <w:color w:val="0D1B2A"/>
          <w:sz w:val="52"/>
          <w:szCs w:val="52"/>
        </w:rPr>
        <w:t xml:space="preserve">Database Documentation</w:t>
      </w:r>
    </w:p>
    <w:p>
      <w:pPr>
        <w:spacing w:after="100" w:before="60"/>
      </w:pPr>
      <w:r>
        <w:rPr>
          <w:rFonts w:ascii="Cambria" w:cs="Cambria" w:eastAsia="Cambria" w:hAnsi="Cambria"/>
          <w:color w:val="5B6B7D"/>
          <w:sz w:val="26"/>
          <w:szCs w:val="26"/>
        </w:rPr>
        <w:t xml:space="preserve">Snowflake Data Pipeline — Architecture &amp; Implementation</w:t>
      </w:r>
    </w:p>
    <w:p>
      <w:pPr>
        <w:pBdr>
          <w:bottom w:val="single" w:color="9C7A17" w:sz="10" w:space="1"/>
        </w:pBdr>
        <w:spacing w:after="300" w:before="300"/>
      </w:pPr>
      <w:r>
        <w:rPr>
          <w:sz w:val="2"/>
          <w:szCs w:val="2"/>
        </w:rPr>
        <w:t xml:space="preserve">  </w:t>
      </w:r>
    </w:p>
    <w:p>
      <w:pPr>
        <w:spacing w:before="160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Team WealthWizard</w:t>
      </w:r>
    </w:p>
    <w:p>
      <w:r>
        <w:rPr>
          <w:rFonts w:ascii="Calibri" w:cs="Calibri" w:eastAsia="Calibri" w:hAnsi="Calibri"/>
          <w:color w:val="5B6B7D"/>
          <w:sz w:val="19"/>
          <w:szCs w:val="19"/>
        </w:rPr>
        <w:t xml:space="preserve">September 16,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Team &amp; Roles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Work on the pipeline was divided by stage, so at most one person alters a given schema's structure at a time — avoiding the conflicts that arise when multiple people modify the same objects independently.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Darwin Francis A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Architecture, schema ownership, RBAC, orchestration, dashboard delivery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Jashwanth Praneeth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Data Ingestion Engineer</w:t>
            </w:r>
          </w:p>
        </w:tc>
        <w:tc>
          <w:tcPr>
            <w:tcW w:type="dxa" w:w="43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Raw dataset preparation and ingestion pipeline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Kolla Chandhana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Data Quality Engineer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Validation, cleaning, and reconciliation logic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Nagolu Srilekha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Data Modeling Engineer</w:t>
            </w:r>
          </w:p>
        </w:tc>
        <w:tc>
          <w:tcPr>
            <w:tcW w:type="dxa" w:w="43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Mart star schema and analytics views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Songa Rishitha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Cloud Storage Engineer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S3 structure and dataset uploads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1.  Overview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WealthWizard ingests personal finance data (users, categories, transactions, budgets, insights) from Amazon S3, validates and models it in Snowflake, and serves it to two dashboards. The pipeline follows a medallion architecture across five schemas: Raw, Stage, Mart, Analytics, and Audit.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57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RAW_WEALTH_WIZARD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Unvalidated landing zone — no constraints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STAGE_WEALTH_WIZARD</w:t>
            </w:r>
          </w:p>
        </w:tc>
        <w:tc>
          <w:tcPr>
            <w:tcW w:type="dxa" w:w="57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Validated data plus reject logs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MART_WEALTH_WIZARD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Star schema for fast queries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ANALYTICS_WEALTH_WIZARD</w:t>
            </w:r>
          </w:p>
        </w:tc>
        <w:tc>
          <w:tcPr>
            <w:tcW w:type="dxa" w:w="57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Reporting views and AI-grounding queries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AUDIT_WEALTH_WIZARD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Pipeline logs and data-quality checks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2.  Data Ingestion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Files land in S3 in an entity-first, date-partitioned structure (e.g. transaction/csv/dt=2026-08-01/) and are picked up automatically by Snowpipe — seven pipes in total, one per entity/format combination, triggered by S3 event notifications rather than a scheduled poll.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68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CSV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User, Budget, one Transaction batch</w:t>
            </w:r>
          </w:p>
        </w:tc>
      </w:tr>
      <w:tr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NDJSON</w:t>
            </w:r>
          </w:p>
        </w:tc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Category, Insight, one Transaction batch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Pipe-delimited TXT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One Transaction batch</w:t>
            </w:r>
          </w:p>
        </w:tc>
      </w:tr>
    </w:tbl>
    <w:tbl>
      <w:tblPr>
        <w:tblW w:type="pct" w:w="100%"/>
        <w:tblBorders>
          <w:top w:val="single" w:color="9C7A17" w:sz="4"/>
          <w:left w:val="single" w:color="9C7A17" w:sz="4"/>
          <w:bottom w:val="single" w:color="9C7A17" w:sz="4"/>
          <w:right w:val="single" w:color="9C7A17" w:sz="4"/>
          <w:insideH w:val="none"/>
          <w:insideV w:val="none"/>
        </w:tblBorders>
      </w:tblPr>
      <w:tblGrid>
        <w:gridCol w:w="100"/>
      </w:tblGrid>
      <w:tr>
        <w:tc>
          <w:tcPr>
            <w:shd w:fill="F4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7A17"/>
                <w:spacing w:val="20"/>
                <w:sz w:val="18"/>
                <w:szCs w:val="18"/>
              </w:rPr>
              <w:t xml:space="preserve">DESIGN NOTE</w:t>
            </w:r>
          </w:p>
          <w:p>
            <w:r>
              <w:rPr>
                <w:rFonts w:ascii="Calibri" w:cs="Calibri" w:eastAsia="Calibri" w:hAnsi="Calibri"/>
                <w:color w:val="3A3220"/>
                <w:sz w:val="21"/>
                <w:szCs w:val="21"/>
              </w:rPr>
              <w:t xml:space="preserve">Raw tables accept everything — every column is nullable text, so malformed data never gets silently rejected at ingestion. Validation happens deliberately in the Stage layer instead.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3.  Data Cleaning &amp; Validation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Cleaning runs in dependency order — Category, User, Transaction, Budget, Insight — since later entities validate foreign keys against the first two. Each entity has a clean table and a matching rejects table; nothing is dropped without a logged reason.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Multi-format date parsing across five known formats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Currency-string amounts stripped to clean decimals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Negative amounts and future-dated transactions rejected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Orphan foreign keys rejected before reaching Stage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Deduplication with a tie-break so a valid row always wins over a blank one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Every run is checked against one invariant: raw count = clean count + rejected count.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4.  Dimensional Model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The Mart layer reshapes clean data into a star schema built for the dashboard's actual questions.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 count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DIM_USER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4,434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DIM_CATEGORY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DIM_DATE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FACT_TRANSACTION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Fact</w:t>
            </w:r>
          </w:p>
        </w:tc>
        <w:tc>
          <w:tcPr>
            <w:tcW w:type="dxa" w:w="31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78,155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FACT_BUDGET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Fact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6,170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FACT_INSIGHT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Fact</w:t>
            </w:r>
          </w:p>
        </w:tc>
        <w:tc>
          <w:tcPr>
            <w:tcW w:type="dxa" w:w="31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23,956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Surrogate keys are deterministic MD5 hashes of business keys, making reloads idempotent — the same source row always produces the same key, so MERGE-based loading never creates duplicates.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5.  Analytics &amp; AI Insights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59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VW_MONTHLY_SPEND_SUMMARY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Income, expense, and net savings per user per month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VW_CATEGORY_SPEND_RANKING</w:t>
            </w:r>
          </w:p>
        </w:tc>
        <w:tc>
          <w:tcPr>
            <w:tcW w:type="dxa" w:w="59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Top spending categories per period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VW_SPENDING_ANOMALY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Spend exceeding 1.5× the trailing 6-month average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VW_SAVINGS_OPPORTUNITY</w:t>
            </w:r>
          </w:p>
        </w:tc>
        <w:tc>
          <w:tcPr>
            <w:tcW w:type="dxa" w:w="59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Spend falling below 70% of the trailing average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A dedicated procedure scans these views plus budget alerts, converts findings into ranked, plain-language insights (severity 2–5), and writes them to FACT_INSIGHT. One production run generated 5 overspend alerts, 6,590 trend findings, and 7,259 savings-opportunity findings.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6.  Business Logic &amp; Orchestration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0D1B2A"/>
          <w:sz w:val="24"/>
          <w:szCs w:val="24"/>
        </w:rPr>
        <w:t xml:space="preserve">6.1  Automated business rules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Category reassignment: deactivated categories automatically sweep their transactions to Uncategorized, fully logged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Budget alerts: refreshed automatically at 80% used (warn) and over-limit (over), non-blocking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0D1B2A"/>
          <w:sz w:val="24"/>
          <w:szCs w:val="24"/>
        </w:rPr>
        <w:t xml:space="preserve">6.2  Pipeline orchestration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Snowflake Streams track new rows per table; Tasks check the stream and skip execution entirely when it's empty, keeping compute cost near zero while idle. Tasks chain in dependency order: raw cleaning → mart loading → alerts → insight generation. A single on-demand procedure can also run the full pipeline synchronously when instant results are needed.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7.  Security &amp; Governance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Every pipeline object — across all five schemas — is owned by one dedicated role, WEALTHWIZARD_ETL, rather than scattered admin access. This includes explicit grants for schema usage, task execution, and pipe operation, each required separately in Snowflake's privilege model.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Raw and Stage schemas are pipeline-internal; no dashboard access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Mart and Analytics are the only schemas the application layer queries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A separate read-only role is defined for future reporting tools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8.  Data Quality Findings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Two independently built dashboards surfaced the same underlying issues from different angles, giving high confidence in these findings: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68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Placeholder text in generated insights (NULL severity)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Filtered at the query layer; empty states added</w:t>
            </w:r>
          </w:p>
        </w:tc>
      </w:tr>
      <w:tr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Stale budget actual-spend values</w:t>
            </w:r>
          </w:p>
        </w:tc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Recomputed live from transactions; source-level fix planned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Unreliable budget period key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Flagged for a source-level fix</w:t>
            </w:r>
          </w:p>
        </w:tc>
      </w:tr>
      <w:tr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Misleading budget health score</w:t>
            </w:r>
          </w:p>
        </w:tc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Now blends category compliance with real cash-flow direction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7D"/>
        <w:sz w:val="16"/>
        <w:szCs w:val="16"/>
      </w:rPr>
      <w:t xml:space="preserve">WealthWizard ·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2026-09-16T09:57:12.624Z</dcterms:created>
  <dcterms:modified xsi:type="dcterms:W3CDTF">2026-09-16T09:57:12.624Z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