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r>
        <w:t xml:space="preserve"/>
      </w:r>
    </w:p>
    <w:p>
      <w:pPr>
        <w:spacing w:after="140"/>
      </w:pPr>
      <w:r>
        <w:rPr>
          <w:rFonts w:ascii="Calibri" w:cs="Calibri" w:eastAsia="Calibri" w:hAnsi="Calibri"/>
          <w:b/>
          <w:bCs/>
          <w:color w:val="2E5FDC"/>
          <w:spacing w:val="20"/>
          <w:sz w:val="22"/>
          <w:szCs w:val="22"/>
        </w:rPr>
        <w:t xml:space="preserve">TECHNICAL DOCUMENTATION</w:t>
      </w:r>
    </w:p>
    <w:p>
      <w:pPr>
        <w:spacing w:after="100"/>
      </w:pPr>
      <w:r>
        <w:rPr>
          <w:rFonts w:ascii="Calibri" w:cs="Calibri" w:eastAsia="Calibri" w:hAnsi="Calibri"/>
          <w:b/>
          <w:bCs/>
          <w:color w:val="1B1F24"/>
          <w:sz w:val="56"/>
          <w:szCs w:val="56"/>
        </w:rPr>
        <w:t xml:space="preserve">Service Desk Trainer</w:t>
      </w:r>
    </w:p>
    <w:p>
      <w:pPr>
        <w:spacing w:after="500"/>
      </w:pPr>
      <w:r>
        <w:rPr>
          <w:rFonts w:ascii="Calibri" w:cs="Calibri" w:eastAsia="Calibri" w:hAnsi="Calibri"/>
          <w:color w:val="5B6672"/>
          <w:sz w:val="26"/>
          <w:szCs w:val="26"/>
        </w:rPr>
        <w:t xml:space="preserve">An AI-Simulated Client for DevOps / IT Service Desk Response Training</w:t>
      </w:r>
    </w:p>
    <w:p>
      <w:pPr>
        <w:spacing w:after="60"/>
      </w:pPr>
      <w:r>
        <w:rPr>
          <w:rFonts w:ascii="Calibri" w:cs="Calibri" w:eastAsia="Calibri" w:hAnsi="Calibri"/>
          <w:color w:val="1B1F24"/>
          <w:sz w:val="21"/>
          <w:szCs w:val="21"/>
        </w:rPr>
        <w:t xml:space="preserve">Version 2.0 — Server-Authenticated Release</w:t>
      </w:r>
    </w:p>
    <w:p>
      <w:pPr>
        <w:spacing w:after="60"/>
      </w:pPr>
      <w:r>
        <w:rPr>
          <w:rFonts w:ascii="Calibri" w:cs="Calibri" w:eastAsia="Calibri" w:hAnsi="Calibri"/>
          <w:color w:val="5B6672"/>
          <w:sz w:val="21"/>
          <w:szCs w:val="21"/>
        </w:rPr>
        <w:t xml:space="preserve">Prepared for internal engineering review</w:t>
      </w:r>
    </w:p>
    <w:p>
      <w:pPr>
        <w:spacing w:after="1600"/>
      </w:pPr>
      <w:r>
        <w:rPr>
          <w:rFonts w:ascii="Calibri" w:cs="Calibri" w:eastAsia="Calibri" w:hAnsi="Calibri"/>
          <w:color w:val="5B6672"/>
          <w:sz w:val="21"/>
          <w:szCs w:val="21"/>
        </w:rPr>
        <w:t xml:space="preserve">September 10, 2026</w:t>
      </w:r>
    </w:p>
    <w:p>
      <w:pPr>
        <w:pBdr>
          <w:bottom w:val="single" w:color="D9DEE4" w:sz="6" w:space="1"/>
        </w:pBdr>
        <w:spacing w:after="260" w:before="60"/>
      </w:pPr>
      <w:r>
        <w:t xml:space="preserve"/>
      </w:r>
    </w:p>
    <w:p>
      <w:pPr>
        <w:spacing w:after="160" w:line="288"/>
      </w:pPr>
      <w:r>
        <w:rPr>
          <w:rFonts w:ascii="Calibri" w:cs="Calibri" w:eastAsia="Calibri" w:hAnsi="Calibri"/>
          <w:i w:val="false"/>
          <w:iCs w:val="false"/>
          <w:color w:val="1B1F24"/>
          <w:sz w:val="21"/>
          <w:szCs w:val="21"/>
        </w:rPr>
        <w:t xml:space="preserve">This document describes the architecture, backend services, conversation engine, scoring model, and deployment process for the Service Desk Trainer application. It is intended for engineers and stakeholders evaluating, maintaining, or extending the system.</w:t>
      </w:r>
    </w:p>
    <w:p>
      <w:pPr>
        <w:sectPr>
          <w:pgSz w:w="12240" w:h="15840" w:orient="portrait"/>
          <w:pgMar w:top="1440" w:right="1440" w:bottom="1440" w:left="1440" w:header="708" w:footer="708" w:gutter="0"/>
          <w:pgNumType/>
          <w:docGrid w:linePitch="360"/>
        </w:sectPr>
      </w:pPr>
    </w:p>
    <w:p>
      <w:pPr>
        <w:pStyle w:val="Heading1"/>
        <w:spacing w:after="200" w:before="420"/>
      </w:pPr>
      <w:r>
        <w:rPr>
          <w:rFonts w:ascii="Calibri" w:cs="Calibri" w:eastAsia="Calibri" w:hAnsi="Calibri"/>
          <w:b/>
          <w:bCs/>
          <w:color w:val="1B1F24"/>
          <w:sz w:val="30"/>
          <w:szCs w:val="30"/>
        </w:rPr>
        <w:t xml:space="preserve">Table of Contents</w:t>
      </w:r>
    </w:p>
    <w:p>
      <w:pPr>
        <w:spacing w:after="160" w:line="288"/>
      </w:pPr>
      <w:r>
        <w:rPr>
          <w:rFonts w:ascii="Calibri" w:cs="Calibri" w:eastAsia="Calibri" w:hAnsi="Calibri"/>
          <w:i/>
          <w:iCs/>
          <w:color w:val="1B1F24"/>
          <w:sz w:val="21"/>
          <w:szCs w:val="21"/>
        </w:rPr>
        <w:t xml:space="preserve">(If this table appears empty, right-click it and choose "Update Field" — Word populates it automatically on first open in most cases.)</w:t>
      </w:r>
    </w:p>
    <w:sdt>
      <w:sdtPr>
        <w:alias w:val="Table of Contents"/>
      </w:sdtPr>
      <w:sdtContent>
        <w:p>
          <w:r>
            <w:fldChar w:fldCharType="begin" w:dirty="true"/>
            <w:instrText xml:space="preserve">TOC \h \o "1-3"</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spacing w:after="200" w:before="420"/>
      </w:pPr>
      <w:r>
        <w:rPr>
          <w:rFonts w:ascii="Calibri" w:cs="Calibri" w:eastAsia="Calibri" w:hAnsi="Calibri"/>
          <w:b/>
          <w:bCs/>
          <w:color w:val="1B1F24"/>
          <w:sz w:val="30"/>
          <w:szCs w:val="30"/>
        </w:rPr>
        <w:t xml:space="preserve">1. Overview</w:t>
      </w:r>
    </w:p>
    <w:p>
      <w:pPr>
        <w:spacing w:after="160" w:line="288"/>
      </w:pPr>
      <w:r>
        <w:rPr>
          <w:rFonts w:ascii="Calibri" w:cs="Calibri" w:eastAsia="Calibri" w:hAnsi="Calibri"/>
          <w:i w:val="false"/>
          <w:iCs w:val="false"/>
          <w:color w:val="1B1F24"/>
          <w:sz w:val="21"/>
          <w:szCs w:val="21"/>
        </w:rPr>
        <w:t xml:space="preserve">Service Desk Trainer is a browser-based simulation tool that helps DevOps and IT service desk staff practice handling client conversations under realistic emotional conditions. Client feedback had identified that agents frequently struggled to keep their tone and troubleshooting effective when a caller was angry, anxious, or otherwise difficult to manage. This tool addresses that gap directly.</w:t>
      </w:r>
    </w:p>
    <w:p>
      <w:pPr>
        <w:spacing w:after="160" w:line="288"/>
      </w:pPr>
      <w:r>
        <w:rPr>
          <w:rFonts w:ascii="Calibri" w:cs="Calibri" w:eastAsia="Calibri" w:hAnsi="Calibri"/>
          <w:i w:val="false"/>
          <w:iCs w:val="false"/>
          <w:color w:val="1B1F24"/>
          <w:sz w:val="21"/>
          <w:szCs w:val="21"/>
        </w:rPr>
        <w:t xml:space="preserve">Before starting a session, the trainee selects the simulated client’s mood and the technical scenario behind their contact. An AI-driven client then opens the conversation in character, and the trainee responds as they would on a live ticket. The conversation continues, turn by turn, until the simulated client is satisfied and the issue is resolved or correctly redirected, until the client escalates away in frustration, or until the trainee ends the session manually. At the end of every session, the system produces a scored report with per-category feedback tied to specific moments in the transcript.</w:t>
      </w:r>
    </w:p>
    <w:p>
      <w:pPr>
        <w:pStyle w:val="Heading2"/>
        <w:spacing w:after="140" w:before="320"/>
      </w:pPr>
      <w:r>
        <w:rPr>
          <w:rFonts w:ascii="Calibri" w:cs="Calibri" w:eastAsia="Calibri" w:hAnsi="Calibri"/>
          <w:b/>
          <w:bCs/>
          <w:color w:val="2E5FDC"/>
          <w:sz w:val="24"/>
          <w:szCs w:val="24"/>
        </w:rPr>
        <w:t xml:space="preserve">1.1 Goals</w:t>
      </w:r>
    </w:p>
    <w:p>
      <w:pPr>
        <w:pStyle w:val="ListParagraph"/>
        <w:numPr>
          <w:ilvl w:val="0"/>
          <w:numId w:val="2"/>
        </w:numPr>
        <w:spacing w:after="90" w:line="276"/>
      </w:pPr>
      <w:r>
        <w:rPr>
          <w:rFonts w:ascii="Calibri" w:cs="Calibri" w:eastAsia="Calibri" w:hAnsi="Calibri"/>
          <w:color w:val="1B1F24"/>
          <w:sz w:val="21"/>
          <w:szCs w:val="21"/>
        </w:rPr>
        <w:t xml:space="preserve">Give service desk staff a safe, repeatable way to rehearse emotionally difficult conversations.</w:t>
      </w:r>
    </w:p>
    <w:p>
      <w:pPr>
        <w:pStyle w:val="ListParagraph"/>
        <w:numPr>
          <w:ilvl w:val="0"/>
          <w:numId w:val="2"/>
        </w:numPr>
        <w:spacing w:after="90" w:line="276"/>
      </w:pPr>
      <w:r>
        <w:rPr>
          <w:rFonts w:ascii="Calibri" w:cs="Calibri" w:eastAsia="Calibri" w:hAnsi="Calibri"/>
          <w:color w:val="1B1F24"/>
          <w:sz w:val="21"/>
          <w:szCs w:val="21"/>
        </w:rPr>
        <w:t xml:space="preserve">Vary both the client’s emotional state and the technical scenario independently, so the same trainee can practice many combinations.</w:t>
      </w:r>
    </w:p>
    <w:p>
      <w:pPr>
        <w:pStyle w:val="ListParagraph"/>
        <w:numPr>
          <w:ilvl w:val="0"/>
          <w:numId w:val="2"/>
        </w:numPr>
        <w:spacing w:after="90" w:line="276"/>
      </w:pPr>
      <w:r>
        <w:rPr>
          <w:rFonts w:ascii="Calibri" w:cs="Calibri" w:eastAsia="Calibri" w:hAnsi="Calibri"/>
          <w:color w:val="1B1F24"/>
          <w:sz w:val="21"/>
          <w:szCs w:val="21"/>
        </w:rPr>
        <w:t xml:space="preserve">Score performance objectively and specifically, rather than with generic pass/fail feedback.</w:t>
      </w:r>
    </w:p>
    <w:p>
      <w:pPr>
        <w:pStyle w:val="ListParagraph"/>
        <w:numPr>
          <w:ilvl w:val="0"/>
          <w:numId w:val="2"/>
        </w:numPr>
        <w:spacing w:after="90" w:line="276"/>
      </w:pPr>
      <w:r>
        <w:rPr>
          <w:rFonts w:ascii="Calibri" w:cs="Calibri" w:eastAsia="Calibri" w:hAnsi="Calibri"/>
          <w:color w:val="1B1F24"/>
          <w:sz w:val="21"/>
          <w:szCs w:val="21"/>
        </w:rPr>
        <w:t xml:space="preserve">Keep the credentials required to run the simulation off the client device entirely.</w:t>
      </w:r>
    </w:p>
    <w:p>
      <w:pPr>
        <w:pStyle w:val="Heading2"/>
        <w:spacing w:after="140" w:before="320"/>
      </w:pPr>
      <w:r>
        <w:rPr>
          <w:rFonts w:ascii="Calibri" w:cs="Calibri" w:eastAsia="Calibri" w:hAnsi="Calibri"/>
          <w:b/>
          <w:bCs/>
          <w:color w:val="2E5FDC"/>
          <w:sz w:val="24"/>
          <w:szCs w:val="24"/>
        </w:rPr>
        <w:t xml:space="preserve">1.2 Non-Goals</w:t>
      </w:r>
    </w:p>
    <w:p>
      <w:pPr>
        <w:pStyle w:val="ListParagraph"/>
        <w:numPr>
          <w:ilvl w:val="0"/>
          <w:numId w:val="2"/>
        </w:numPr>
        <w:spacing w:after="90" w:line="276"/>
      </w:pPr>
      <w:r>
        <w:rPr>
          <w:rFonts w:ascii="Calibri" w:cs="Calibri" w:eastAsia="Calibri" w:hAnsi="Calibri"/>
          <w:color w:val="1B1F24"/>
          <w:sz w:val="21"/>
          <w:szCs w:val="21"/>
        </w:rPr>
        <w:t xml:space="preserve">The tool does not authenticate trainees or store historical results — there is currently no login system or persistence layer.</w:t>
      </w:r>
    </w:p>
    <w:p>
      <w:pPr>
        <w:pStyle w:val="ListParagraph"/>
        <w:numPr>
          <w:ilvl w:val="0"/>
          <w:numId w:val="2"/>
        </w:numPr>
        <w:spacing w:after="90" w:line="276"/>
      </w:pPr>
      <w:r>
        <w:rPr>
          <w:rFonts w:ascii="Calibri" w:cs="Calibri" w:eastAsia="Calibri" w:hAnsi="Calibri"/>
          <w:color w:val="1B1F24"/>
          <w:sz w:val="21"/>
          <w:szCs w:val="21"/>
        </w:rPr>
        <w:t xml:space="preserve">It does not integrate with a live ticketing system (e.g. Jira Service Management, Zendesk); it is a standalone rehearsal environment.</w:t>
      </w:r>
    </w:p>
    <w:p>
      <w:pPr>
        <w:pStyle w:val="Heading1"/>
        <w:spacing w:after="200" w:before="420"/>
      </w:pPr>
      <w:r>
        <w:rPr>
          <w:rFonts w:ascii="Calibri" w:cs="Calibri" w:eastAsia="Calibri" w:hAnsi="Calibri"/>
          <w:b/>
          <w:bCs/>
          <w:color w:val="1B1F24"/>
          <w:sz w:val="30"/>
          <w:szCs w:val="30"/>
        </w:rPr>
        <w:t xml:space="preserve">2. System Architecture</w:t>
      </w:r>
    </w:p>
    <w:p>
      <w:pPr>
        <w:spacing w:after="160" w:line="288"/>
      </w:pPr>
      <w:r>
        <w:rPr>
          <w:rFonts w:ascii="Calibri" w:cs="Calibri" w:eastAsia="Calibri" w:hAnsi="Calibri"/>
          <w:i w:val="false"/>
          <w:iCs w:val="false"/>
          <w:color w:val="1B1F24"/>
          <w:sz w:val="21"/>
          <w:szCs w:val="21"/>
        </w:rPr>
        <w:t xml:space="preserve">The application follows a thin client / thin server model. The browser owns all UI state and conversation logic; the server’s only responsibility is to hold the Gemini API key and forward two well-defined requests to Google’s Generative Language API.</w:t>
      </w:r>
    </w:p>
    <w:p>
      <w:pPr>
        <w:pBdr>
          <w:top w:val="single" w:color="D9DEE4" w:sz="4"/>
          <w:bottom w:val="single" w:color="D9DEE4" w:sz="4"/>
          <w:left w:val="single" w:color="D9DEE4" w:sz="4"/>
          <w:right w:val="single" w:color="D9DEE4" w:sz="4"/>
        </w:pBdr>
        <w:shd w:fill="F4F6F8" w:val="clear"/>
        <w:spacing w:after="200" w:before="100"/>
      </w:pPr>
      <w:r>
        <w:rPr>
          <w:rFonts w:ascii="Consolas" w:cs="Consolas" w:eastAsia="Consolas" w:hAnsi="Consolas"/>
          <w:color w:val="1B1F24"/>
          <w:sz w:val="18"/>
          <w:szCs w:val="18"/>
        </w:rPr>
        <w:t xml:space="preserve">        +----------------------------------+</w:t>
      </w:r>
      <w:r>
        <w:rPr>
          <w:rFonts w:ascii="Consolas" w:cs="Consolas" w:eastAsia="Consolas" w:hAnsi="Consolas"/>
          <w:color w:val="1B1F24"/>
          <w:sz w:val="18"/>
          <w:szCs w:val="18"/>
        </w:rPr>
        <w:br/>
        <w:t xml:space="preserve">        | Browser -- index.html            |</w:t>
      </w:r>
      <w:r>
        <w:rPr>
          <w:rFonts w:ascii="Consolas" w:cs="Consolas" w:eastAsia="Consolas" w:hAnsi="Consolas"/>
          <w:color w:val="1B1F24"/>
          <w:sz w:val="18"/>
          <w:szCs w:val="18"/>
        </w:rPr>
        <w:br/>
        <w:t xml:space="preserve">        | Setup / Chat / Report screens    |</w:t>
      </w:r>
      <w:r>
        <w:rPr>
          <w:rFonts w:ascii="Consolas" w:cs="Consolas" w:eastAsia="Consolas" w:hAnsi="Consolas"/>
          <w:color w:val="1B1F24"/>
          <w:sz w:val="18"/>
          <w:szCs w:val="18"/>
        </w:rPr>
        <w:br/>
        <w:t xml:space="preserve">        +----------------------------------+</w:t>
      </w:r>
      <w:r>
        <w:rPr>
          <w:rFonts w:ascii="Consolas" w:cs="Consolas" w:eastAsia="Consolas" w:hAnsi="Consolas"/>
          <w:color w:val="1B1F24"/>
          <w:sz w:val="18"/>
          <w:szCs w:val="18"/>
        </w:rPr>
        <w:br/>
        <w:t xml:space="preserve">         |</w:t>
      </w:r>
      <w:r>
        <w:rPr>
          <w:rFonts w:ascii="Consolas" w:cs="Consolas" w:eastAsia="Consolas" w:hAnsi="Consolas"/>
          <w:color w:val="1B1F24"/>
          <w:sz w:val="18"/>
          <w:szCs w:val="18"/>
        </w:rPr>
        <w:br/>
        <w:t xml:space="preserve">         |  POST /api/turn</w:t>
      </w:r>
      <w:r>
        <w:rPr>
          <w:rFonts w:ascii="Consolas" w:cs="Consolas" w:eastAsia="Consolas" w:hAnsi="Consolas"/>
          <w:color w:val="1B1F24"/>
          <w:sz w:val="18"/>
          <w:szCs w:val="18"/>
        </w:rPr>
        <w:br/>
        <w:t xml:space="preserve">         |  POST /api/score</w:t>
      </w:r>
      <w:r>
        <w:rPr>
          <w:rFonts w:ascii="Consolas" w:cs="Consolas" w:eastAsia="Consolas" w:hAnsi="Consolas"/>
          <w:color w:val="1B1F24"/>
          <w:sz w:val="18"/>
          <w:szCs w:val="18"/>
        </w:rPr>
        <w:br/>
        <w:t xml:space="preserve">         v</w:t>
      </w:r>
      <w:r>
        <w:rPr>
          <w:rFonts w:ascii="Consolas" w:cs="Consolas" w:eastAsia="Consolas" w:hAnsi="Consolas"/>
          <w:color w:val="1B1F24"/>
          <w:sz w:val="18"/>
          <w:szCs w:val="18"/>
        </w:rPr>
        <w:br/>
        <w:t xml:space="preserve">        +----------------------------------+</w:t>
      </w:r>
      <w:r>
        <w:rPr>
          <w:rFonts w:ascii="Consolas" w:cs="Consolas" w:eastAsia="Consolas" w:hAnsi="Consolas"/>
          <w:color w:val="1B1F24"/>
          <w:sz w:val="18"/>
          <w:szCs w:val="18"/>
        </w:rPr>
        <w:br/>
        <w:t xml:space="preserve">        | Server -- server.js              |</w:t>
      </w:r>
      <w:r>
        <w:rPr>
          <w:rFonts w:ascii="Consolas" w:cs="Consolas" w:eastAsia="Consolas" w:hAnsi="Consolas"/>
          <w:color w:val="1B1F24"/>
          <w:sz w:val="18"/>
          <w:szCs w:val="18"/>
        </w:rPr>
        <w:br/>
        <w:t xml:space="preserve">        | Express app, holds API key       |</w:t>
      </w:r>
      <w:r>
        <w:rPr>
          <w:rFonts w:ascii="Consolas" w:cs="Consolas" w:eastAsia="Consolas" w:hAnsi="Consolas"/>
          <w:color w:val="1B1F24"/>
          <w:sz w:val="18"/>
          <w:szCs w:val="18"/>
        </w:rPr>
        <w:br/>
        <w:t xml:space="preserve">        +----------------------------------+</w:t>
      </w:r>
      <w:r>
        <w:rPr>
          <w:rFonts w:ascii="Consolas" w:cs="Consolas" w:eastAsia="Consolas" w:hAnsi="Consolas"/>
          <w:color w:val="1B1F24"/>
          <w:sz w:val="18"/>
          <w:szCs w:val="18"/>
        </w:rPr>
        <w:br/>
        <w:t xml:space="preserve">         |</w:t>
      </w:r>
      <w:r>
        <w:rPr>
          <w:rFonts w:ascii="Consolas" w:cs="Consolas" w:eastAsia="Consolas" w:hAnsi="Consolas"/>
          <w:color w:val="1B1F24"/>
          <w:sz w:val="18"/>
          <w:szCs w:val="18"/>
        </w:rPr>
        <w:br/>
        <w:t xml:space="preserve">         |  generateContent()</w:t>
      </w:r>
      <w:r>
        <w:rPr>
          <w:rFonts w:ascii="Consolas" w:cs="Consolas" w:eastAsia="Consolas" w:hAnsi="Consolas"/>
          <w:color w:val="1B1F24"/>
          <w:sz w:val="18"/>
          <w:szCs w:val="18"/>
        </w:rPr>
        <w:br/>
        <w:t xml:space="preserve">         v</w:t>
      </w:r>
      <w:r>
        <w:rPr>
          <w:rFonts w:ascii="Consolas" w:cs="Consolas" w:eastAsia="Consolas" w:hAnsi="Consolas"/>
          <w:color w:val="1B1F24"/>
          <w:sz w:val="18"/>
          <w:szCs w:val="18"/>
        </w:rPr>
        <w:br/>
        <w:t xml:space="preserve">        +----------------------------------+</w:t>
      </w:r>
      <w:r>
        <w:rPr>
          <w:rFonts w:ascii="Consolas" w:cs="Consolas" w:eastAsia="Consolas" w:hAnsi="Consolas"/>
          <w:color w:val="1B1F24"/>
          <w:sz w:val="18"/>
          <w:szCs w:val="18"/>
        </w:rPr>
        <w:br/>
        <w:t xml:space="preserve">        | Google Gemini API                |</w:t>
      </w:r>
      <w:r>
        <w:rPr>
          <w:rFonts w:ascii="Consolas" w:cs="Consolas" w:eastAsia="Consolas" w:hAnsi="Consolas"/>
          <w:color w:val="1B1F24"/>
          <w:sz w:val="18"/>
          <w:szCs w:val="18"/>
        </w:rPr>
        <w:br/>
        <w:t xml:space="preserve">        | gemini-3.1-flash-lite            |</w:t>
      </w:r>
      <w:r>
        <w:rPr>
          <w:rFonts w:ascii="Consolas" w:cs="Consolas" w:eastAsia="Consolas" w:hAnsi="Consolas"/>
          <w:color w:val="1B1F24"/>
          <w:sz w:val="18"/>
          <w:szCs w:val="18"/>
        </w:rPr>
        <w:br/>
        <w:t xml:space="preserve">        +----------------------------------+</w:t>
      </w:r>
    </w:p>
    <w:p>
      <w:pPr>
        <w:spacing w:after="160" w:line="288"/>
      </w:pPr>
      <w:r>
        <w:rPr>
          <w:rFonts w:ascii="Calibri" w:cs="Calibri" w:eastAsia="Calibri" w:hAnsi="Calibri"/>
          <w:i w:val="false"/>
          <w:iCs w:val="false"/>
          <w:color w:val="1B1F24"/>
          <w:sz w:val="21"/>
          <w:szCs w:val="21"/>
        </w:rPr>
        <w:t xml:space="preserve">The server also serves index.html as a static file, so a single Node process is enough to run the whole application in development or in production.</w:t>
      </w:r>
    </w:p>
    <w:p>
      <w:pPr>
        <w:pStyle w:val="Heading2"/>
        <w:spacing w:after="140" w:before="320"/>
      </w:pPr>
      <w:r>
        <w:rPr>
          <w:rFonts w:ascii="Calibri" w:cs="Calibri" w:eastAsia="Calibri" w:hAnsi="Calibri"/>
          <w:b/>
          <w:bCs/>
          <w:color w:val="2E5FDC"/>
          <w:sz w:val="24"/>
          <w:szCs w:val="24"/>
        </w:rPr>
        <w:t xml:space="preserve">2.1 Design Principle: Key Isolation</w:t>
      </w:r>
    </w:p>
    <w:p>
      <w:pPr>
        <w:spacing w:after="160" w:line="288"/>
      </w:pPr>
      <w:r>
        <w:rPr>
          <w:rFonts w:ascii="Calibri" w:cs="Calibri" w:eastAsia="Calibri" w:hAnsi="Calibri"/>
          <w:i w:val="false"/>
          <w:iCs w:val="false"/>
          <w:color w:val="1B1F24"/>
          <w:sz w:val="21"/>
          <w:szCs w:val="21"/>
        </w:rPr>
        <w:t xml:space="preserve">The single most important architectural decision in this version is that the Gemini API key never reaches the browser. The frontend sends only the conversation payload (system prompt, message history, and a response schema) to the server; the server attaches the key and calls Gemini on the frontend’s behalf. Anyone inspecting network traffic or page source in the browser sees no credential at any point.</w:t>
      </w:r>
    </w:p>
    <w:p>
      <w:pPr>
        <w:pStyle w:val="Heading1"/>
        <w:spacing w:after="200" w:before="420"/>
      </w:pPr>
      <w:r>
        <w:rPr>
          <w:rFonts w:ascii="Calibri" w:cs="Calibri" w:eastAsia="Calibri" w:hAnsi="Calibri"/>
          <w:b/>
          <w:bCs/>
          <w:color w:val="1B1F24"/>
          <w:sz w:val="30"/>
          <w:szCs w:val="30"/>
        </w:rPr>
        <w:t xml:space="preserve">3. Technology 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00"/>
      </w:tblGrid>
      <w:tr>
        <w:trPr>
          <w:tblHeader/>
        </w:trPr>
        <w:tc>
          <w:tcPr>
            <w:tcW w:type="dxa" w:w="17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Layer</w:t>
            </w:r>
          </w:p>
        </w:tc>
        <w:tc>
          <w:tcPr>
            <w:tcW w:type="dxa" w:w="36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Technology</w:t>
            </w:r>
          </w:p>
        </w:tc>
        <w:tc>
          <w:tcPr>
            <w:tcW w:type="dxa" w:w="40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Purpose</w:t>
            </w:r>
          </w:p>
        </w:tc>
      </w:tr>
      <w:tr>
        <w:tc>
          <w:tcPr>
            <w:tcW w:type="dxa" w:w="17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Frontend</w:t>
            </w:r>
          </w:p>
        </w:tc>
        <w:tc>
          <w:tcPr>
            <w:tcW w:type="dxa" w:w="36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Static HTML, CSS, vanilla JavaScript</w:t>
            </w:r>
          </w:p>
        </w:tc>
        <w:tc>
          <w:tcPr>
            <w:tcW w:type="dxa" w:w="40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Setup, chat, and report screens; no build step or framework required</w:t>
            </w:r>
          </w:p>
        </w:tc>
      </w:tr>
      <w:tr>
        <w:tc>
          <w:tcPr>
            <w:tcW w:type="dxa" w:w="17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Backend</w:t>
            </w:r>
          </w:p>
        </w:tc>
        <w:tc>
          <w:tcPr>
            <w:tcW w:type="dxa" w:w="36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Node.js, Express 4</w:t>
            </w:r>
          </w:p>
        </w:tc>
        <w:tc>
          <w:tcPr>
            <w:tcW w:type="dxa" w:w="40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Serves the frontend and proxies the two Gemini calls</w:t>
            </w:r>
          </w:p>
        </w:tc>
      </w:tr>
      <w:tr>
        <w:tc>
          <w:tcPr>
            <w:tcW w:type="dxa" w:w="17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Configuration</w:t>
            </w:r>
          </w:p>
        </w:tc>
        <w:tc>
          <w:tcPr>
            <w:tcW w:type="dxa" w:w="36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dotenv</w:t>
            </w:r>
          </w:p>
        </w:tc>
        <w:tc>
          <w:tcPr>
            <w:tcW w:type="dxa" w:w="40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Loads GEMINI_API_KEY from a local .env file in development</w:t>
            </w:r>
          </w:p>
        </w:tc>
      </w:tr>
      <w:tr>
        <w:tc>
          <w:tcPr>
            <w:tcW w:type="dxa" w:w="17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AI model</w:t>
            </w:r>
          </w:p>
        </w:tc>
        <w:tc>
          <w:tcPr>
            <w:tcW w:type="dxa" w:w="36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Gemini 3.1 Flash Lite (Google Generative Language API)</w:t>
            </w:r>
          </w:p>
        </w:tc>
        <w:tc>
          <w:tcPr>
            <w:tcW w:type="dxa" w:w="40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Plays the simulated client and scores the finished session</w:t>
            </w:r>
          </w:p>
        </w:tc>
      </w:tr>
      <w:tr>
        <w:tc>
          <w:tcPr>
            <w:tcW w:type="dxa" w:w="17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Fonts</w:t>
            </w:r>
          </w:p>
        </w:tc>
        <w:tc>
          <w:tcPr>
            <w:tcW w:type="dxa" w:w="36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Space Grotesk, Inter, JetBrains Mono (Google Fonts)</w:t>
            </w:r>
          </w:p>
        </w:tc>
        <w:tc>
          <w:tcPr>
            <w:tcW w:type="dxa" w:w="40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Display, body, and data typography</w:t>
            </w:r>
          </w:p>
        </w:tc>
      </w:tr>
      <w:tr>
        <w:tc>
          <w:tcPr>
            <w:tcW w:type="dxa" w:w="17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Deployment target</w:t>
            </w:r>
          </w:p>
        </w:tc>
        <w:tc>
          <w:tcPr>
            <w:tcW w:type="dxa" w:w="36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Vercel (vercel.json included)</w:t>
            </w:r>
          </w:p>
        </w:tc>
        <w:tc>
          <w:tcPr>
            <w:tcW w:type="dxa" w:w="40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Serverless hosting for server.js alongside the static frontend</w:t>
            </w:r>
          </w:p>
        </w:tc>
      </w:tr>
    </w:tbl>
    <w:p>
      <w:pPr>
        <w:pStyle w:val="Heading1"/>
        <w:spacing w:after="200" w:before="420"/>
      </w:pPr>
      <w:r>
        <w:rPr>
          <w:rFonts w:ascii="Calibri" w:cs="Calibri" w:eastAsia="Calibri" w:hAnsi="Calibri"/>
          <w:b/>
          <w:bCs/>
          <w:color w:val="1B1F24"/>
          <w:sz w:val="30"/>
          <w:szCs w:val="30"/>
        </w:rPr>
        <w:t xml:space="preserve">4. Frontend Design</w:t>
      </w:r>
    </w:p>
    <w:p>
      <w:pPr>
        <w:spacing w:after="160" w:line="288"/>
      </w:pPr>
      <w:r>
        <w:rPr>
          <w:rFonts w:ascii="Calibri" w:cs="Calibri" w:eastAsia="Calibri" w:hAnsi="Calibri"/>
          <w:i w:val="false"/>
          <w:iCs w:val="false"/>
          <w:color w:val="1B1F24"/>
          <w:sz w:val="21"/>
          <w:szCs w:val="21"/>
        </w:rPr>
        <w:t xml:space="preserve">The interface is organized as three mutually-exclusive screens inside a single page, toggled by hiding/showing &lt;section&gt; elements. There is intentionally no login step in this release.</w:t>
      </w:r>
    </w:p>
    <w:p>
      <w:pPr>
        <w:pStyle w:val="Heading2"/>
        <w:spacing w:after="140" w:before="320"/>
      </w:pPr>
      <w:r>
        <w:rPr>
          <w:rFonts w:ascii="Calibri" w:cs="Calibri" w:eastAsia="Calibri" w:hAnsi="Calibri"/>
          <w:b/>
          <w:bCs/>
          <w:color w:val="2E5FDC"/>
          <w:sz w:val="24"/>
          <w:szCs w:val="24"/>
        </w:rPr>
        <w:t xml:space="preserve">4.1 Setup Screen</w:t>
      </w:r>
    </w:p>
    <w:p>
      <w:pPr>
        <w:spacing w:after="160" w:line="288"/>
      </w:pPr>
      <w:r>
        <w:rPr>
          <w:rFonts w:ascii="Calibri" w:cs="Calibri" w:eastAsia="Calibri" w:hAnsi="Calibri"/>
          <w:i w:val="false"/>
          <w:iCs w:val="false"/>
          <w:color w:val="1B1F24"/>
          <w:sz w:val="21"/>
          <w:szCs w:val="21"/>
        </w:rPr>
        <w:t xml:space="preserve">The trainee chooses a client mood and a scenario from two dropdown selects, then starts the session. Validation blocks the start action until both fields are chosen, with an inline error banner rather than a browser alert.</w:t>
      </w:r>
    </w:p>
    <w:p>
      <w:pPr>
        <w:pStyle w:val="Heading2"/>
        <w:spacing w:after="140" w:before="320"/>
      </w:pPr>
      <w:r>
        <w:rPr>
          <w:rFonts w:ascii="Calibri" w:cs="Calibri" w:eastAsia="Calibri" w:hAnsi="Calibri"/>
          <w:b/>
          <w:bCs/>
          <w:color w:val="2E5FDC"/>
          <w:sz w:val="24"/>
          <w:szCs w:val="24"/>
        </w:rPr>
        <w:t xml:space="preserve">4.2 Chat Screen</w:t>
      </w:r>
    </w:p>
    <w:p>
      <w:pPr>
        <w:spacing w:after="160" w:line="288"/>
      </w:pPr>
      <w:r>
        <w:rPr>
          <w:rFonts w:ascii="Calibri" w:cs="Calibri" w:eastAsia="Calibri" w:hAnsi="Calibri"/>
          <w:i w:val="false"/>
          <w:iCs w:val="false"/>
          <w:color w:val="1B1F24"/>
          <w:sz w:val="21"/>
          <w:szCs w:val="21"/>
        </w:rPr>
        <w:t xml:space="preserve">This screen is split into a ticket panel and a chat panel:</w:t>
      </w:r>
    </w:p>
    <w:p>
      <w:pPr>
        <w:pStyle w:val="ListParagraph"/>
        <w:numPr>
          <w:ilvl w:val="0"/>
          <w:numId w:val="2"/>
        </w:numPr>
        <w:spacing w:after="90" w:line="276"/>
      </w:pPr>
      <w:r>
        <w:rPr>
          <w:rFonts w:ascii="Calibri" w:cs="Calibri" w:eastAsia="Calibri" w:hAnsi="Calibri"/>
          <w:color w:val="1B1F24"/>
          <w:sz w:val="21"/>
          <w:szCs w:val="21"/>
        </w:rPr>
        <w:t xml:space="preserve">Ticket panel — shows a generated ticket ID, the scenario title, the client’s mood label, a live “client temperature” gauge, an elapsed-time counter, and an “End test now” control.</w:t>
      </w:r>
    </w:p>
    <w:p>
      <w:pPr>
        <w:pStyle w:val="ListParagraph"/>
        <w:numPr>
          <w:ilvl w:val="0"/>
          <w:numId w:val="2"/>
        </w:numPr>
        <w:spacing w:after="90" w:line="276"/>
      </w:pPr>
      <w:r>
        <w:rPr>
          <w:rFonts w:ascii="Calibri" w:cs="Calibri" w:eastAsia="Calibri" w:hAnsi="Calibri"/>
          <w:color w:val="1B1F24"/>
          <w:sz w:val="21"/>
          <w:szCs w:val="21"/>
        </w:rPr>
        <w:t xml:space="preserve">Chat panel — a scrolling message thread with a composer. Client messages are visually distinguished with a mood-colored left border; agent messages are right-aligned and accent-colored.</w:t>
      </w:r>
    </w:p>
    <w:p>
      <w:pPr>
        <w:spacing w:after="160" w:line="288"/>
      </w:pPr>
      <w:r>
        <w:rPr>
          <w:rFonts w:ascii="Calibri" w:cs="Calibri" w:eastAsia="Calibri" w:hAnsi="Calibri"/>
          <w:i w:val="false"/>
          <w:iCs w:val="false"/>
          <w:color w:val="1B1F24"/>
          <w:sz w:val="21"/>
          <w:szCs w:val="21"/>
        </w:rPr>
        <w:t xml:space="preserve">The temperature gauge is the visual centerpiece of the session: an animated semicircular dial whose needle angle and arc color are driven directly by the satisfaction value returned with every client turn.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00"/>
      </w:tblGrid>
      <w:tr>
        <w:trPr>
          <w:tblHeader/>
        </w:trPr>
        <w:tc>
          <w:tcPr>
            <w:tcW w:type="dxa" w:w="31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Satisfaction range</w:t>
            </w:r>
          </w:p>
        </w:tc>
        <w:tc>
          <w:tcPr>
            <w:tcW w:type="dxa" w:w="31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Gauge label</w:t>
            </w:r>
          </w:p>
        </w:tc>
        <w:tc>
          <w:tcPr>
            <w:tcW w:type="dxa" w:w="31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Color</w:t>
            </w:r>
          </w:p>
        </w:tc>
      </w:tr>
      <w:tr>
        <w:tc>
          <w:tcPr>
            <w:tcW w:type="dxa" w:w="31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0 – 29</w:t>
            </w:r>
          </w:p>
        </w:tc>
        <w:tc>
          <w:tcPr>
            <w:tcW w:type="dxa" w:w="31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Critical</w:t>
            </w:r>
          </w:p>
        </w:tc>
        <w:tc>
          <w:tcPr>
            <w:tcW w:type="dxa" w:w="31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Red</w:t>
            </w:r>
          </w:p>
        </w:tc>
      </w:tr>
      <w:tr>
        <w:tc>
          <w:tcPr>
            <w:tcW w:type="dxa" w:w="31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30 – 54</w:t>
            </w:r>
          </w:p>
        </w:tc>
        <w:tc>
          <w:tcPr>
            <w:tcW w:type="dxa" w:w="31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Tense</w:t>
            </w:r>
          </w:p>
        </w:tc>
        <w:tc>
          <w:tcPr>
            <w:tcW w:type="dxa" w:w="31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Amber</w:t>
            </w:r>
          </w:p>
        </w:tc>
      </w:tr>
      <w:tr>
        <w:tc>
          <w:tcPr>
            <w:tcW w:type="dxa" w:w="31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55 – 79</w:t>
            </w:r>
          </w:p>
        </w:tc>
        <w:tc>
          <w:tcPr>
            <w:tcW w:type="dxa" w:w="31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Cooling</w:t>
            </w:r>
          </w:p>
        </w:tc>
        <w:tc>
          <w:tcPr>
            <w:tcW w:type="dxa" w:w="31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Blue</w:t>
            </w:r>
          </w:p>
        </w:tc>
      </w:tr>
      <w:tr>
        <w:tc>
          <w:tcPr>
            <w:tcW w:type="dxa" w:w="31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80 – 100</w:t>
            </w:r>
          </w:p>
        </w:tc>
        <w:tc>
          <w:tcPr>
            <w:tcW w:type="dxa" w:w="31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Resolved</w:t>
            </w:r>
          </w:p>
        </w:tc>
        <w:tc>
          <w:tcPr>
            <w:tcW w:type="dxa" w:w="31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Teal</w:t>
            </w:r>
          </w:p>
        </w:tc>
      </w:tr>
    </w:tbl>
    <w:p>
      <w:pPr>
        <w:pStyle w:val="Heading2"/>
        <w:spacing w:after="140" w:before="320"/>
      </w:pPr>
      <w:r>
        <w:rPr>
          <w:rFonts w:ascii="Calibri" w:cs="Calibri" w:eastAsia="Calibri" w:hAnsi="Calibri"/>
          <w:b/>
          <w:bCs/>
          <w:color w:val="2E5FDC"/>
          <w:sz w:val="24"/>
          <w:szCs w:val="24"/>
        </w:rPr>
        <w:t xml:space="preserve">4.3 Report Screen</w:t>
      </w:r>
    </w:p>
    <w:p>
      <w:pPr>
        <w:spacing w:after="160" w:line="288"/>
      </w:pPr>
      <w:r>
        <w:rPr>
          <w:rFonts w:ascii="Calibri" w:cs="Calibri" w:eastAsia="Calibri" w:hAnsi="Calibri"/>
          <w:i w:val="false"/>
          <w:iCs w:val="false"/>
          <w:color w:val="1B1F24"/>
          <w:sz w:val="21"/>
          <w:szCs w:val="21"/>
        </w:rPr>
        <w:t xml:space="preserve">Once a session ends, the frontend requests a score and renders an overall score ring, four animated category bars, a written verdict, and two lists (“What worked” / “What to fix”). A “Download report” button exports the full result, including the transcript, as a plain-text file generated client-side with a Blob and an anchor download — no server round trip is required for the export itself.</w:t>
      </w:r>
    </w:p>
    <w:p>
      <w:pPr>
        <w:pStyle w:val="Heading2"/>
        <w:spacing w:after="140" w:before="320"/>
      </w:pPr>
      <w:r>
        <w:rPr>
          <w:rFonts w:ascii="Calibri" w:cs="Calibri" w:eastAsia="Calibri" w:hAnsi="Calibri"/>
          <w:b/>
          <w:bCs/>
          <w:color w:val="2E5FDC"/>
          <w:sz w:val="24"/>
          <w:szCs w:val="24"/>
        </w:rPr>
        <w:t xml:space="preserve">4.4 Visual System</w:t>
      </w:r>
    </w:p>
    <w:p>
      <w:pPr>
        <w:spacing w:after="160" w:line="288"/>
      </w:pPr>
      <w:r>
        <w:rPr>
          <w:rFonts w:ascii="Calibri" w:cs="Calibri" w:eastAsia="Calibri" w:hAnsi="Calibri"/>
          <w:i w:val="false"/>
          <w:iCs w:val="false"/>
          <w:color w:val="1B1F24"/>
          <w:sz w:val="21"/>
          <w:szCs w:val="21"/>
        </w:rPr>
        <w:t xml:space="preserve">The interface supports dark and light modes via a single data-theme attribute on the document root, with all colors expressed as CSS custom properties so the switch requires no re-render. Motion is deliberately limited to a single entrance animation per screen, per-message pop-in transitions, a typing indicator, and the gauge/score animations — there is no decorative hover motion on static content. Reduced-motion preferences are respected via a media query that collapses all animation and transition durations.</w:t>
      </w:r>
    </w:p>
    <w:p>
      <w:pPr>
        <w:pStyle w:val="Heading1"/>
        <w:spacing w:after="200" w:before="420"/>
      </w:pPr>
      <w:r>
        <w:rPr>
          <w:rFonts w:ascii="Calibri" w:cs="Calibri" w:eastAsia="Calibri" w:hAnsi="Calibri"/>
          <w:b/>
          <w:bCs/>
          <w:color w:val="1B1F24"/>
          <w:sz w:val="30"/>
          <w:szCs w:val="30"/>
        </w:rPr>
        <w:t xml:space="preserve">5. Backend Design (server.js)</w:t>
      </w:r>
    </w:p>
    <w:p>
      <w:pPr>
        <w:spacing w:after="160" w:line="288"/>
      </w:pPr>
      <w:r>
        <w:rPr>
          <w:rFonts w:ascii="Calibri" w:cs="Calibri" w:eastAsia="Calibri" w:hAnsi="Calibri"/>
          <w:i w:val="false"/>
          <w:iCs w:val="false"/>
          <w:color w:val="1B1F24"/>
          <w:sz w:val="21"/>
          <w:szCs w:val="21"/>
        </w:rPr>
        <w:t xml:space="preserve">The backend is a small Express application with three responsibilities: serving static files, validating the two proxy requests, and calling Gemini with the server-held key.</w:t>
      </w:r>
    </w:p>
    <w:p>
      <w:pPr>
        <w:pStyle w:val="Heading2"/>
        <w:spacing w:after="140" w:before="320"/>
      </w:pPr>
      <w:r>
        <w:rPr>
          <w:rFonts w:ascii="Calibri" w:cs="Calibri" w:eastAsia="Calibri" w:hAnsi="Calibri"/>
          <w:b/>
          <w:bCs/>
          <w:color w:val="2E5FDC"/>
          <w:sz w:val="24"/>
          <w:szCs w:val="24"/>
        </w:rPr>
        <w:t xml:space="preserve">5.1 Startup and Configuration</w:t>
      </w:r>
    </w:p>
    <w:p>
      <w:pPr>
        <w:pStyle w:val="ListParagraph"/>
        <w:numPr>
          <w:ilvl w:val="0"/>
          <w:numId w:val="2"/>
        </w:numPr>
        <w:spacing w:after="90" w:line="276"/>
      </w:pPr>
      <w:r>
        <w:rPr>
          <w:rFonts w:ascii="Calibri" w:cs="Calibri" w:eastAsia="Calibri" w:hAnsi="Calibri"/>
          <w:color w:val="1B1F24"/>
          <w:sz w:val="21"/>
          <w:szCs w:val="21"/>
        </w:rPr>
        <w:t xml:space="preserve">Loads environment variables via dotenv (local development) or the hosting platform’s environment variable store (production).</w:t>
      </w:r>
    </w:p>
    <w:p>
      <w:pPr>
        <w:pStyle w:val="ListParagraph"/>
        <w:numPr>
          <w:ilvl w:val="0"/>
          <w:numId w:val="2"/>
        </w:numPr>
        <w:spacing w:after="90" w:line="276"/>
      </w:pPr>
      <w:r>
        <w:rPr>
          <w:rFonts w:ascii="Calibri" w:cs="Calibri" w:eastAsia="Calibri" w:hAnsi="Calibri"/>
          <w:color w:val="1B1F24"/>
          <w:sz w:val="21"/>
          <w:szCs w:val="21"/>
        </w:rPr>
        <w:t xml:space="preserve">Reads GEMINI_API_KEY once at process start; if it is missing or left as the placeholder value, every Gemini call fails fast with a descriptive error instead of silently calling the API with an invalid key.</w:t>
      </w:r>
    </w:p>
    <w:p>
      <w:pPr>
        <w:pStyle w:val="ListParagraph"/>
        <w:numPr>
          <w:ilvl w:val="0"/>
          <w:numId w:val="2"/>
        </w:numPr>
        <w:spacing w:after="90" w:line="276"/>
      </w:pPr>
      <w:r>
        <w:rPr>
          <w:rFonts w:ascii="Calibri" w:cs="Calibri" w:eastAsia="Calibri" w:hAnsi="Calibri"/>
          <w:color w:val="1B1F24"/>
          <w:sz w:val="21"/>
          <w:szCs w:val="21"/>
        </w:rPr>
        <w:t xml:space="preserve">Serves every file in the project root as static content, which is how index.html reaches the browser.</w:t>
      </w:r>
    </w:p>
    <w:p>
      <w:pPr>
        <w:pStyle w:val="ListParagraph"/>
        <w:numPr>
          <w:ilvl w:val="0"/>
          <w:numId w:val="2"/>
        </w:numPr>
        <w:spacing w:after="90" w:line="276"/>
      </w:pPr>
      <w:r>
        <w:rPr>
          <w:rFonts w:ascii="Calibri" w:cs="Calibri" w:eastAsia="Calibri" w:hAnsi="Calibri"/>
          <w:color w:val="1B1F24"/>
          <w:sz w:val="21"/>
          <w:szCs w:val="21"/>
        </w:rPr>
        <w:t xml:space="preserve">Listens on process.env.PORT, defaulting to 3000 for local development.</w:t>
      </w:r>
    </w:p>
    <w:p>
      <w:pPr>
        <w:pStyle w:val="Heading2"/>
        <w:spacing w:after="140" w:before="320"/>
      </w:pPr>
      <w:r>
        <w:rPr>
          <w:rFonts w:ascii="Calibri" w:cs="Calibri" w:eastAsia="Calibri" w:hAnsi="Calibri"/>
          <w:b/>
          <w:bCs/>
          <w:color w:val="2E5FDC"/>
          <w:sz w:val="24"/>
          <w:szCs w:val="24"/>
        </w:rPr>
        <w:t xml:space="preserve">5.2 Request Handling</w:t>
      </w:r>
    </w:p>
    <w:p>
      <w:pPr>
        <w:spacing w:after="160" w:line="288"/>
      </w:pPr>
      <w:r>
        <w:rPr>
          <w:rFonts w:ascii="Calibri" w:cs="Calibri" w:eastAsia="Calibri" w:hAnsi="Calibri"/>
          <w:i w:val="false"/>
          <w:iCs w:val="false"/>
          <w:color w:val="1B1F24"/>
          <w:sz w:val="21"/>
          <w:szCs w:val="21"/>
        </w:rPr>
        <w:t xml:space="preserve">Both /api/turn and /api/score share one internal helper, callGemini(systemPrompt, contents, schema), which builds the Gemini request body with systemInstruction, the conversation contents array, and a generationConfig that forces application/json output constrained to the caller-supplied JSON schema. Using a response schema at the API level, rather than asking the model to “please return JSON,” is what keeps the integration reliable turn after turn.</w:t>
      </w:r>
    </w:p>
    <w:p>
      <w:pPr>
        <w:pBdr>
          <w:top w:val="single" w:color="D9DEE4" w:sz="4"/>
          <w:bottom w:val="single" w:color="D9DEE4" w:sz="4"/>
          <w:left w:val="single" w:color="D9DEE4" w:sz="4"/>
          <w:right w:val="single" w:color="D9DEE4" w:sz="4"/>
        </w:pBdr>
        <w:shd w:fill="F4F6F8" w:val="clear"/>
        <w:spacing w:after="200" w:before="100"/>
      </w:pPr>
      <w:r>
        <w:rPr>
          <w:rFonts w:ascii="Consolas" w:cs="Consolas" w:eastAsia="Consolas" w:hAnsi="Consolas"/>
          <w:color w:val="1B1F24"/>
          <w:sz w:val="18"/>
          <w:szCs w:val="18"/>
        </w:rPr>
        <w:t xml:space="preserve">generationConfig: {</w:t>
      </w:r>
      <w:r>
        <w:rPr>
          <w:rFonts w:ascii="Consolas" w:cs="Consolas" w:eastAsia="Consolas" w:hAnsi="Consolas"/>
          <w:color w:val="1B1F24"/>
          <w:sz w:val="18"/>
          <w:szCs w:val="18"/>
        </w:rPr>
        <w:br/>
        <w:t xml:space="preserve">  temperature: 0.9,</w:t>
      </w:r>
      <w:r>
        <w:rPr>
          <w:rFonts w:ascii="Consolas" w:cs="Consolas" w:eastAsia="Consolas" w:hAnsi="Consolas"/>
          <w:color w:val="1B1F24"/>
          <w:sz w:val="18"/>
          <w:szCs w:val="18"/>
        </w:rPr>
        <w:br/>
        <w:t xml:space="preserve">  responseMimeType: "application/json",</w:t>
      </w:r>
      <w:r>
        <w:rPr>
          <w:rFonts w:ascii="Consolas" w:cs="Consolas" w:eastAsia="Consolas" w:hAnsi="Consolas"/>
          <w:color w:val="1B1F24"/>
          <w:sz w:val="18"/>
          <w:szCs w:val="18"/>
        </w:rPr>
        <w:br/>
        <w:t xml:space="preserve">  responseSchema: schema   // TURN_SCHEMA or SCORE_SCHEMA, sent by the frontend</w:t>
      </w:r>
      <w:r>
        <w:rPr>
          <w:rFonts w:ascii="Consolas" w:cs="Consolas" w:eastAsia="Consolas" w:hAnsi="Consolas"/>
          <w:color w:val="1B1F24"/>
          <w:sz w:val="18"/>
          <w:szCs w:val="18"/>
        </w:rPr>
        <w:br/>
        <w:t xml:space="preserve">}</w:t>
      </w:r>
    </w:p>
    <w:p>
      <w:pPr>
        <w:spacing w:after="160" w:line="288"/>
      </w:pPr>
      <w:r>
        <w:rPr>
          <w:rFonts w:ascii="Calibri" w:cs="Calibri" w:eastAsia="Calibri" w:hAnsi="Calibri"/>
          <w:i w:val="false"/>
          <w:iCs w:val="false"/>
          <w:color w:val="1B1F24"/>
          <w:sz w:val="21"/>
          <w:szCs w:val="21"/>
        </w:rPr>
        <w:t xml:space="preserve">Both routes validate that systemPrompt, contents, and schema are present on the request body, return HTTP 500 with a JSON error body on any failure (missing key, network error, malformed model output), and otherwise return the model’s parsed JSON verbatim to the frontend.</w:t>
      </w:r>
    </w:p>
    <w:p>
      <w:pPr>
        <w:pStyle w:val="Heading1"/>
        <w:spacing w:after="200" w:before="420"/>
      </w:pPr>
      <w:r>
        <w:rPr>
          <w:rFonts w:ascii="Calibri" w:cs="Calibri" w:eastAsia="Calibri" w:hAnsi="Calibri"/>
          <w:b/>
          <w:bCs/>
          <w:color w:val="1B1F24"/>
          <w:sz w:val="30"/>
          <w:szCs w:val="30"/>
        </w:rPr>
        <w:t xml:space="preserve">6. API Reference</w:t>
      </w:r>
    </w:p>
    <w:p>
      <w:pPr>
        <w:pStyle w:val="Heading2"/>
        <w:spacing w:after="140" w:before="320"/>
      </w:pPr>
      <w:r>
        <w:rPr>
          <w:rFonts w:ascii="Calibri" w:cs="Calibri" w:eastAsia="Calibri" w:hAnsi="Calibri"/>
          <w:b/>
          <w:bCs/>
          <w:color w:val="2E5FDC"/>
          <w:sz w:val="24"/>
          <w:szCs w:val="24"/>
        </w:rPr>
        <w:t xml:space="preserve">6.1 POST /api/turn</w:t>
      </w:r>
    </w:p>
    <w:p>
      <w:pPr>
        <w:spacing w:after="160" w:line="288"/>
      </w:pPr>
      <w:r>
        <w:rPr>
          <w:rFonts w:ascii="Calibri" w:cs="Calibri" w:eastAsia="Calibri" w:hAnsi="Calibri"/>
          <w:i w:val="false"/>
          <w:iCs w:val="false"/>
          <w:color w:val="1B1F24"/>
          <w:sz w:val="21"/>
          <w:szCs w:val="21"/>
        </w:rPr>
        <w:t xml:space="preserve">Advances the conversation by one turn. Used both to generate the client’s opening message and every subsequent reply.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00"/>
      </w:tblGrid>
      <w:tr>
        <w:trPr>
          <w:tblHeader/>
        </w:trPr>
        <w:tc>
          <w:tcPr>
            <w:tcW w:type="dxa" w:w="19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Field</w:t>
            </w:r>
          </w:p>
        </w:tc>
        <w:tc>
          <w:tcPr>
            <w:tcW w:type="dxa" w:w="14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Type</w:t>
            </w:r>
          </w:p>
        </w:tc>
        <w:tc>
          <w:tcPr>
            <w:tcW w:type="dxa" w:w="60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Description</w:t>
            </w:r>
          </w:p>
        </w:tc>
      </w:tr>
      <w:tr>
        <w:tc>
          <w:tcPr>
            <w:tcW w:type="dxa" w:w="19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systemPrompt</w:t>
            </w:r>
          </w:p>
        </w:tc>
        <w:tc>
          <w:tcPr>
            <w:tcW w:type="dxa" w:w="14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string</w:t>
            </w:r>
          </w:p>
        </w:tc>
        <w:tc>
          <w:tcPr>
            <w:tcW w:type="dxa" w:w="60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The full persona and rules instruction for this turn, built client-side from the selected mood and scenario</w:t>
            </w:r>
          </w:p>
        </w:tc>
      </w:tr>
      <w:tr>
        <w:tc>
          <w:tcPr>
            <w:tcW w:type="dxa" w:w="19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contents</w:t>
            </w:r>
          </w:p>
        </w:tc>
        <w:tc>
          <w:tcPr>
            <w:tcW w:type="dxa" w:w="14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array</w:t>
            </w:r>
          </w:p>
        </w:tc>
        <w:tc>
          <w:tcPr>
            <w:tcW w:type="dxa" w:w="60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Gemini-formatted message history: one entry per turn, alternating role "user" (agent) and "model" (client)</w:t>
            </w:r>
          </w:p>
        </w:tc>
      </w:tr>
      <w:tr>
        <w:tc>
          <w:tcPr>
            <w:tcW w:type="dxa" w:w="19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schema</w:t>
            </w:r>
          </w:p>
        </w:tc>
        <w:tc>
          <w:tcPr>
            <w:tcW w:type="dxa" w:w="14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object</w:t>
            </w:r>
          </w:p>
        </w:tc>
        <w:tc>
          <w:tcPr>
            <w:tcW w:type="dxa" w:w="60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JSON schema the response must satisfy (TURN_SCHEMA, see §7.2)</w:t>
            </w:r>
          </w:p>
        </w:tc>
      </w:tr>
    </w:tbl>
    <w:p>
      <w:pPr>
        <w:spacing w:after="160" w:line="288"/>
      </w:pPr>
      <w:r>
        <w:rPr>
          <w:rFonts w:ascii="Calibri" w:cs="Calibri" w:eastAsia="Calibri" w:hAnsi="Calibri"/>
          <w:i w:val="false"/>
          <w:iCs w:val="false"/>
          <w:color w:val="1B1F24"/>
          <w:sz w:val="21"/>
          <w:szCs w:val="21"/>
        </w:rPr>
        <w:t xml:space="preserve">Response body (application/json), matching TURN_SCHEMA: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00"/>
      </w:tblGrid>
      <w:tr>
        <w:trPr>
          <w:tblHeader/>
        </w:trPr>
        <w:tc>
          <w:tcPr>
            <w:tcW w:type="dxa" w:w="19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Field</w:t>
            </w:r>
          </w:p>
        </w:tc>
        <w:tc>
          <w:tcPr>
            <w:tcW w:type="dxa" w:w="14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Type</w:t>
            </w:r>
          </w:p>
        </w:tc>
        <w:tc>
          <w:tcPr>
            <w:tcW w:type="dxa" w:w="60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Description</w:t>
            </w:r>
          </w:p>
        </w:tc>
      </w:tr>
      <w:tr>
        <w:tc>
          <w:tcPr>
            <w:tcW w:type="dxa" w:w="19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reply</w:t>
            </w:r>
          </w:p>
        </w:tc>
        <w:tc>
          <w:tcPr>
            <w:tcW w:type="dxa" w:w="14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string</w:t>
            </w:r>
          </w:p>
        </w:tc>
        <w:tc>
          <w:tcPr>
            <w:tcW w:type="dxa" w:w="60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The simulated client’s in-character message for this turn</w:t>
            </w:r>
          </w:p>
        </w:tc>
      </w:tr>
      <w:tr>
        <w:tc>
          <w:tcPr>
            <w:tcW w:type="dxa" w:w="19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satisfaction</w:t>
            </w:r>
          </w:p>
        </w:tc>
        <w:tc>
          <w:tcPr>
            <w:tcW w:type="dxa" w:w="14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number (0–100)</w:t>
            </w:r>
          </w:p>
        </w:tc>
        <w:tc>
          <w:tcPr>
            <w:tcW w:type="dxa" w:w="60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The client’s current calm/satisfaction level, used to drive the temperature gauge</w:t>
            </w:r>
          </w:p>
        </w:tc>
      </w:tr>
      <w:tr>
        <w:tc>
          <w:tcPr>
            <w:tcW w:type="dxa" w:w="19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status</w:t>
            </w:r>
          </w:p>
        </w:tc>
        <w:tc>
          <w:tcPr>
            <w:tcW w:type="dxa" w:w="14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string</w:t>
            </w:r>
          </w:p>
        </w:tc>
        <w:tc>
          <w:tcPr>
            <w:tcW w:type="dxa" w:w="60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One of "ongoing", "resolved", or "escalated"</w:t>
            </w:r>
          </w:p>
        </w:tc>
      </w:tr>
    </w:tbl>
    <w:p>
      <w:pPr>
        <w:pStyle w:val="Heading2"/>
        <w:spacing w:after="140" w:before="320"/>
      </w:pPr>
      <w:r>
        <w:rPr>
          <w:rFonts w:ascii="Calibri" w:cs="Calibri" w:eastAsia="Calibri" w:hAnsi="Calibri"/>
          <w:b/>
          <w:bCs/>
          <w:color w:val="2E5FDC"/>
          <w:sz w:val="24"/>
          <w:szCs w:val="24"/>
        </w:rPr>
        <w:t xml:space="preserve">6.2 POST /api/score</w:t>
      </w:r>
    </w:p>
    <w:p>
      <w:pPr>
        <w:spacing w:after="160" w:line="288"/>
      </w:pPr>
      <w:r>
        <w:rPr>
          <w:rFonts w:ascii="Calibri" w:cs="Calibri" w:eastAsia="Calibri" w:hAnsi="Calibri"/>
          <w:i w:val="false"/>
          <w:iCs w:val="false"/>
          <w:color w:val="1B1F24"/>
          <w:sz w:val="21"/>
          <w:szCs w:val="21"/>
        </w:rPr>
        <w:t xml:space="preserve">Called once, when a session ends (resolved, escalated, or ended manually by the trainee), to generate the final report.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00"/>
      </w:tblGrid>
      <w:tr>
        <w:trPr>
          <w:tblHeader/>
        </w:trPr>
        <w:tc>
          <w:tcPr>
            <w:tcW w:type="dxa" w:w="19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Field</w:t>
            </w:r>
          </w:p>
        </w:tc>
        <w:tc>
          <w:tcPr>
            <w:tcW w:type="dxa" w:w="14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Type</w:t>
            </w:r>
          </w:p>
        </w:tc>
        <w:tc>
          <w:tcPr>
            <w:tcW w:type="dxa" w:w="60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Description</w:t>
            </w:r>
          </w:p>
        </w:tc>
      </w:tr>
      <w:tr>
        <w:tc>
          <w:tcPr>
            <w:tcW w:type="dxa" w:w="19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systemPrompt</w:t>
            </w:r>
          </w:p>
        </w:tc>
        <w:tc>
          <w:tcPr>
            <w:tcW w:type="dxa" w:w="14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string</w:t>
            </w:r>
          </w:p>
        </w:tc>
        <w:tc>
          <w:tcPr>
            <w:tcW w:type="dxa" w:w="60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The scoring instructions, including the full transcript, scenario, assigned mood, and how the session ended</w:t>
            </w:r>
          </w:p>
        </w:tc>
      </w:tr>
      <w:tr>
        <w:tc>
          <w:tcPr>
            <w:tcW w:type="dxa" w:w="19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contents</w:t>
            </w:r>
          </w:p>
        </w:tc>
        <w:tc>
          <w:tcPr>
            <w:tcW w:type="dxa" w:w="14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array</w:t>
            </w:r>
          </w:p>
        </w:tc>
        <w:tc>
          <w:tcPr>
            <w:tcW w:type="dxa" w:w="60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A single user message instructing the model to score the session now</w:t>
            </w:r>
          </w:p>
        </w:tc>
      </w:tr>
      <w:tr>
        <w:tc>
          <w:tcPr>
            <w:tcW w:type="dxa" w:w="19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schema</w:t>
            </w:r>
          </w:p>
        </w:tc>
        <w:tc>
          <w:tcPr>
            <w:tcW w:type="dxa" w:w="14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object</w:t>
            </w:r>
          </w:p>
        </w:tc>
        <w:tc>
          <w:tcPr>
            <w:tcW w:type="dxa" w:w="60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JSON schema the response must satisfy (SCORE_SCHEMA, see below)</w:t>
            </w:r>
          </w:p>
        </w:tc>
      </w:tr>
    </w:tbl>
    <w:p>
      <w:pPr>
        <w:spacing w:after="160" w:line="288"/>
      </w:pPr>
      <w:r>
        <w:rPr>
          <w:rFonts w:ascii="Calibri" w:cs="Calibri" w:eastAsia="Calibri" w:hAnsi="Calibri"/>
          <w:i w:val="false"/>
          <w:iCs w:val="false"/>
          <w:color w:val="1B1F24"/>
          <w:sz w:val="21"/>
          <w:szCs w:val="21"/>
        </w:rPr>
        <w:t xml:space="preserve">Response body (application/json), matching SCORE_SCHEMA: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6000"/>
      </w:tblGrid>
      <w:tr>
        <w:trPr>
          <w:tblHeader/>
        </w:trPr>
        <w:tc>
          <w:tcPr>
            <w:tcW w:type="dxa" w:w="19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Field</w:t>
            </w:r>
          </w:p>
        </w:tc>
        <w:tc>
          <w:tcPr>
            <w:tcW w:type="dxa" w:w="14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Type</w:t>
            </w:r>
          </w:p>
        </w:tc>
        <w:tc>
          <w:tcPr>
            <w:tcW w:type="dxa" w:w="60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Description</w:t>
            </w:r>
          </w:p>
        </w:tc>
      </w:tr>
      <w:tr>
        <w:tc>
          <w:tcPr>
            <w:tcW w:type="dxa" w:w="19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overall_score</w:t>
            </w:r>
          </w:p>
        </w:tc>
        <w:tc>
          <w:tcPr>
            <w:tcW w:type="dxa" w:w="14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number (0–100)</w:t>
            </w:r>
          </w:p>
        </w:tc>
        <w:tc>
          <w:tcPr>
            <w:tcW w:type="dxa" w:w="60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Holistic weighted score for the session</w:t>
            </w:r>
          </w:p>
        </w:tc>
      </w:tr>
      <w:tr>
        <w:tc>
          <w:tcPr>
            <w:tcW w:type="dxa" w:w="19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empathy</w:t>
            </w:r>
          </w:p>
        </w:tc>
        <w:tc>
          <w:tcPr>
            <w:tcW w:type="dxa" w:w="14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number (0–100)</w:t>
            </w:r>
          </w:p>
        </w:tc>
        <w:tc>
          <w:tcPr>
            <w:tcW w:type="dxa" w:w="60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Whether the agent acknowledged and adapted to the client’s emotional state</w:t>
            </w:r>
          </w:p>
        </w:tc>
      </w:tr>
      <w:tr>
        <w:tc>
          <w:tcPr>
            <w:tcW w:type="dxa" w:w="19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technical_accuracy</w:t>
            </w:r>
          </w:p>
        </w:tc>
        <w:tc>
          <w:tcPr>
            <w:tcW w:type="dxa" w:w="14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number (0–100)</w:t>
            </w:r>
          </w:p>
        </w:tc>
        <w:tc>
          <w:tcPr>
            <w:tcW w:type="dxa" w:w="60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Correctness and relevance of the troubleshooting, fix, or redirection given</w:t>
            </w:r>
          </w:p>
        </w:tc>
      </w:tr>
      <w:tr>
        <w:tc>
          <w:tcPr>
            <w:tcW w:type="dxa" w:w="19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resolution</w:t>
            </w:r>
          </w:p>
        </w:tc>
        <w:tc>
          <w:tcPr>
            <w:tcW w:type="dxa" w:w="14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number (0–100)</w:t>
            </w:r>
          </w:p>
        </w:tc>
        <w:tc>
          <w:tcPr>
            <w:tcW w:type="dxa" w:w="60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Whether the issue was resolved, correctly redirected, or escalated, and how efficiently</w:t>
            </w:r>
          </w:p>
        </w:tc>
      </w:tr>
      <w:tr>
        <w:tc>
          <w:tcPr>
            <w:tcW w:type="dxa" w:w="19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communication</w:t>
            </w:r>
          </w:p>
        </w:tc>
        <w:tc>
          <w:tcPr>
            <w:tcW w:type="dxa" w:w="14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number (0–100)</w:t>
            </w:r>
          </w:p>
        </w:tc>
        <w:tc>
          <w:tcPr>
            <w:tcW w:type="dxa" w:w="60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Clarity, tone, professionalism, and avoidance of unnecessary jargon</w:t>
            </w:r>
          </w:p>
        </w:tc>
      </w:tr>
      <w:tr>
        <w:tc>
          <w:tcPr>
            <w:tcW w:type="dxa" w:w="19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verdict</w:t>
            </w:r>
          </w:p>
        </w:tc>
        <w:tc>
          <w:tcPr>
            <w:tcW w:type="dxa" w:w="14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string</w:t>
            </w:r>
          </w:p>
        </w:tc>
        <w:tc>
          <w:tcPr>
            <w:tcW w:type="dxa" w:w="60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One-sentence summary of the agent’s performance</w:t>
            </w:r>
          </w:p>
        </w:tc>
      </w:tr>
      <w:tr>
        <w:tc>
          <w:tcPr>
            <w:tcW w:type="dxa" w:w="19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strengths</w:t>
            </w:r>
          </w:p>
        </w:tc>
        <w:tc>
          <w:tcPr>
            <w:tcW w:type="dxa" w:w="14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array of string</w:t>
            </w:r>
          </w:p>
        </w:tc>
        <w:tc>
          <w:tcPr>
            <w:tcW w:type="dxa" w:w="60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2–4 sentences, each citing a specific moment or line from the agent’s messages</w:t>
            </w:r>
          </w:p>
        </w:tc>
      </w:tr>
      <w:tr>
        <w:tc>
          <w:tcPr>
            <w:tcW w:type="dxa" w:w="19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improvements</w:t>
            </w:r>
          </w:p>
        </w:tc>
        <w:tc>
          <w:tcPr>
            <w:tcW w:type="dxa" w:w="14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array of string</w:t>
            </w:r>
          </w:p>
        </w:tc>
        <w:tc>
          <w:tcPr>
            <w:tcW w:type="dxa" w:w="60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2–4 sentences, each citing a specific missed step or mistake and what should have been done instead</w:t>
            </w:r>
          </w:p>
        </w:tc>
      </w:tr>
    </w:tbl>
    <w:p>
      <w:pPr>
        <w:pStyle w:val="Heading2"/>
        <w:spacing w:after="140" w:before="320"/>
      </w:pPr>
      <w:r>
        <w:rPr>
          <w:rFonts w:ascii="Calibri" w:cs="Calibri" w:eastAsia="Calibri" w:hAnsi="Calibri"/>
          <w:b/>
          <w:bCs/>
          <w:color w:val="2E5FDC"/>
          <w:sz w:val="24"/>
          <w:szCs w:val="24"/>
        </w:rPr>
        <w:t xml:space="preserve">6.3 Error Responses</w:t>
      </w:r>
    </w:p>
    <w:p>
      <w:pPr>
        <w:spacing w:after="160" w:line="288"/>
      </w:pPr>
      <w:r>
        <w:rPr>
          <w:rFonts w:ascii="Calibri" w:cs="Calibri" w:eastAsia="Calibri" w:hAnsi="Calibri"/>
          <w:i w:val="false"/>
          <w:iCs w:val="false"/>
          <w:color w:val="1B1F24"/>
          <w:sz w:val="21"/>
          <w:szCs w:val="21"/>
        </w:rPr>
        <w:t xml:space="preserve">Both endpoints return HTTP 500 with { "error": "&lt;message&gt;" } on failure. The frontend surfaces this message inline in the chat thread (as a system-style line) rather than failing silently, so a missing or invalid API key, a network interruption, or a malformed model response is always visible to the trainee.</w:t>
      </w:r>
    </w:p>
    <w:p>
      <w:pPr>
        <w:pStyle w:val="Heading1"/>
        <w:spacing w:after="200" w:before="420"/>
      </w:pPr>
      <w:r>
        <w:rPr>
          <w:rFonts w:ascii="Calibri" w:cs="Calibri" w:eastAsia="Calibri" w:hAnsi="Calibri"/>
          <w:b/>
          <w:bCs/>
          <w:color w:val="1B1F24"/>
          <w:sz w:val="30"/>
          <w:szCs w:val="30"/>
        </w:rPr>
        <w:t xml:space="preserve">7. Conversation Engine</w:t>
      </w:r>
    </w:p>
    <w:p>
      <w:pPr>
        <w:spacing w:after="160" w:line="288"/>
      </w:pPr>
      <w:r>
        <w:rPr>
          <w:rFonts w:ascii="Calibri" w:cs="Calibri" w:eastAsia="Calibri" w:hAnsi="Calibri"/>
          <w:i w:val="false"/>
          <w:iCs w:val="false"/>
          <w:color w:val="1B1F24"/>
          <w:sz w:val="21"/>
          <w:szCs w:val="21"/>
        </w:rPr>
        <w:t xml:space="preserve">The conversation engine is entirely prompt-driven: the frontend assembles a system prompt from the selected mood and scenario, and re-sends the full message history with every turn, since the API itself is stateless.</w:t>
      </w:r>
    </w:p>
    <w:p>
      <w:pPr>
        <w:pStyle w:val="Heading2"/>
        <w:spacing w:after="140" w:before="320"/>
      </w:pPr>
      <w:r>
        <w:rPr>
          <w:rFonts w:ascii="Calibri" w:cs="Calibri" w:eastAsia="Calibri" w:hAnsi="Calibri"/>
          <w:b/>
          <w:bCs/>
          <w:color w:val="2E5FDC"/>
          <w:sz w:val="24"/>
          <w:szCs w:val="24"/>
        </w:rPr>
        <w:t xml:space="preserve">7.1 Mood Presets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700"/>
      </w:tblGrid>
      <w:tr>
        <w:trPr>
          <w:tblHeader/>
        </w:trPr>
        <w:tc>
          <w:tcPr>
            <w:tcW w:type="dxa" w:w="17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Mood</w:t>
            </w:r>
          </w:p>
        </w:tc>
        <w:tc>
          <w:tcPr>
            <w:tcW w:type="dxa" w:w="19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Starting temperature</w:t>
            </w:r>
          </w:p>
        </w:tc>
        <w:tc>
          <w:tcPr>
            <w:tcW w:type="dxa" w:w="57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Behavior summary</w:t>
            </w:r>
          </w:p>
        </w:tc>
      </w:tr>
      <w:tr>
        <w:tc>
          <w:tcPr>
            <w:tcW w:type="dxa" w:w="17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Furious</w:t>
            </w:r>
          </w:p>
        </w:tc>
        <w:tc>
          <w:tcPr>
            <w:tcW w:type="dxa" w:w="19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12 (Critical)</w:t>
            </w:r>
          </w:p>
        </w:tc>
        <w:tc>
          <w:tcPr>
            <w:tcW w:type="dxa" w:w="57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Extremely angry and impatient; short, sharp messages; threatens to escalate; calms only with genuine acknowledgment and fast, confident progress</w:t>
            </w:r>
          </w:p>
        </w:tc>
      </w:tr>
      <w:tr>
        <w:tc>
          <w:tcPr>
            <w:tcW w:type="dxa" w:w="17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On edge</w:t>
            </w:r>
          </w:p>
        </w:tc>
        <w:tc>
          <w:tcPr>
            <w:tcW w:type="dxa" w:w="19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22 (Critical)</w:t>
            </w:r>
          </w:p>
        </w:tc>
        <w:tc>
          <w:tcPr>
            <w:tcW w:type="dxa" w:w="57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Stressed and curt; low tolerance for vague answers or repetition; responds well to clear, decisive help</w:t>
            </w:r>
          </w:p>
        </w:tc>
      </w:tr>
      <w:tr>
        <w:tc>
          <w:tcPr>
            <w:tcW w:type="dxa" w:w="17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Worried</w:t>
            </w:r>
          </w:p>
        </w:tc>
        <w:tc>
          <w:tcPr>
            <w:tcW w:type="dxa" w:w="19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34 (Tense)</w:t>
            </w:r>
          </w:p>
        </w:tc>
        <w:tc>
          <w:tcPr>
            <w:tcW w:type="dxa" w:w="57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Anxious about impact (data loss, deadlines); needs reassurance as much as a fix; calms with confidence and clear check-ins</w:t>
            </w:r>
          </w:p>
        </w:tc>
      </w:tr>
      <w:tr>
        <w:tc>
          <w:tcPr>
            <w:tcW w:type="dxa" w:w="17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Lost</w:t>
            </w:r>
          </w:p>
        </w:tc>
        <w:tc>
          <w:tcPr>
            <w:tcW w:type="dxa" w:w="19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40 (Tense)</w:t>
            </w:r>
          </w:p>
        </w:tc>
        <w:tc>
          <w:tcPr>
            <w:tcW w:type="dxa" w:w="57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Non-technical and easily confused; needs plain-language, step-by-step guidance; frustrated by jargon or condescension</w:t>
            </w:r>
          </w:p>
        </w:tc>
      </w:tr>
      <w:tr>
        <w:tc>
          <w:tcPr>
            <w:tcW w:type="dxa" w:w="17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In a rush</w:t>
            </w:r>
          </w:p>
        </w:tc>
        <w:tc>
          <w:tcPr>
            <w:tcW w:type="dxa" w:w="19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30 (Tense)</w:t>
            </w:r>
          </w:p>
        </w:tc>
        <w:tc>
          <w:tcPr>
            <w:tcW w:type="dxa" w:w="57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Time-pressured; wants the fastest workable path; responds well to fast triage and a clear time estimate</w:t>
            </w:r>
          </w:p>
        </w:tc>
      </w:tr>
      <w:tr>
        <w:tc>
          <w:tcPr>
            <w:tcW w:type="dxa" w:w="17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Doubtful</w:t>
            </w:r>
          </w:p>
        </w:tc>
        <w:tc>
          <w:tcPr>
            <w:tcW w:type="dxa" w:w="19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38 (Tense)</w:t>
            </w:r>
          </w:p>
        </w:tc>
        <w:tc>
          <w:tcPr>
            <w:tcW w:type="dxa" w:w="57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Guarded after past bad support experiences; pushes back on vague reassurance; warms up once real competence is demonstrated</w:t>
            </w:r>
          </w:p>
        </w:tc>
      </w:tr>
    </w:tbl>
    <w:p>
      <w:pPr>
        <w:pStyle w:val="Heading2"/>
        <w:spacing w:after="140" w:before="320"/>
      </w:pPr>
      <w:r>
        <w:rPr>
          <w:rFonts w:ascii="Calibri" w:cs="Calibri" w:eastAsia="Calibri" w:hAnsi="Calibri"/>
          <w:b/>
          <w:bCs/>
          <w:color w:val="2E5FDC"/>
          <w:sz w:val="24"/>
          <w:szCs w:val="24"/>
        </w:rPr>
        <w:t xml:space="preserve">7.2 Scenario Presets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Scenario</w:t>
            </w:r>
          </w:p>
        </w:tc>
        <w:tc>
          <w:tcPr>
            <w:tcW w:type="dxa" w:w="70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Description</w:t>
            </w:r>
          </w:p>
        </w:tc>
      </w:tr>
      <w:tr>
        <w:tc>
          <w:tcPr>
            <w:tcW w:type="dxa" w:w="23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Network issue</w:t>
            </w:r>
          </w:p>
        </w:tc>
        <w:tc>
          <w:tcPr>
            <w:tcW w:type="dxa" w:w="70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Internet or internal network connection is dropping in and out, or fully down, blocking access to needed systems</w:t>
            </w:r>
          </w:p>
        </w:tc>
      </w:tr>
      <w:tr>
        <w:tc>
          <w:tcPr>
            <w:tcW w:type="dxa" w:w="23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Database issue</w:t>
            </w:r>
          </w:p>
        </w:tc>
        <w:tc>
          <w:tcPr>
            <w:tcW w:type="dxa" w:w="70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A relied-upon database is throwing errors, running extremely slowly, or appears to have corrupted or missing data</w:t>
            </w:r>
          </w:p>
        </w:tc>
      </w:tr>
      <w:tr>
        <w:tc>
          <w:tcPr>
            <w:tcW w:type="dxa" w:w="23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App down</w:t>
            </w:r>
          </w:p>
        </w:tc>
        <w:tc>
          <w:tcPr>
            <w:tcW w:type="dxa" w:w="70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A critical application or internal tool is completely unreachable, potentially affecting the whole team</w:t>
            </w:r>
          </w:p>
        </w:tc>
      </w:tr>
      <w:tr>
        <w:tc>
          <w:tcPr>
            <w:tcW w:type="dxa" w:w="23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Cyber breach</w:t>
            </w:r>
          </w:p>
        </w:tc>
        <w:tc>
          <w:tcPr>
            <w:tcW w:type="dxa" w:w="70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A suspected or confirmed security incident — unauthorized access, ransomware, or other suspicious activity — requiring urgent containment</w:t>
            </w:r>
          </w:p>
        </w:tc>
      </w:tr>
    </w:tbl>
    <w:p>
      <w:pPr>
        <w:pStyle w:val="Heading2"/>
        <w:spacing w:after="140" w:before="320"/>
      </w:pPr>
      <w:r>
        <w:rPr>
          <w:rFonts w:ascii="Calibri" w:cs="Calibri" w:eastAsia="Calibri" w:hAnsi="Calibri"/>
          <w:b/>
          <w:bCs/>
          <w:color w:val="2E5FDC"/>
          <w:sz w:val="24"/>
          <w:szCs w:val="24"/>
        </w:rPr>
        <w:t xml:space="preserve">7.3 Turn-by-Turn Behavior Rules</w:t>
      </w:r>
    </w:p>
    <w:p>
      <w:pPr>
        <w:spacing w:after="160" w:line="288"/>
      </w:pPr>
      <w:r>
        <w:rPr>
          <w:rFonts w:ascii="Calibri" w:cs="Calibri" w:eastAsia="Calibri" w:hAnsi="Calibri"/>
          <w:i w:val="false"/>
          <w:iCs w:val="false"/>
          <w:color w:val="1B1F24"/>
          <w:sz w:val="21"/>
          <w:szCs w:val="21"/>
        </w:rPr>
        <w:t xml:space="preserve">Every system prompt sent to Gemini encodes the same behavioral contract, regardless of which mood or scenario is selected:</w:t>
      </w:r>
    </w:p>
    <w:p>
      <w:pPr>
        <w:pStyle w:val="ListParagraph"/>
        <w:numPr>
          <w:ilvl w:val="0"/>
          <w:numId w:val="3"/>
        </w:numPr>
        <w:spacing w:after="90" w:line="276"/>
      </w:pPr>
      <w:r>
        <w:rPr>
          <w:rFonts w:ascii="Calibri" w:cs="Calibri" w:eastAsia="Calibri" w:hAnsi="Calibri"/>
          <w:color w:val="1B1F24"/>
          <w:sz w:val="21"/>
          <w:szCs w:val="21"/>
        </w:rPr>
        <w:t xml:space="preserve">Stay in character at all times; never acknowledge being an AI, a simulation, or these instructions.</w:t>
      </w:r>
    </w:p>
    <w:p>
      <w:pPr>
        <w:pStyle w:val="ListParagraph"/>
        <w:numPr>
          <w:ilvl w:val="0"/>
          <w:numId w:val="3"/>
        </w:numPr>
        <w:spacing w:after="90" w:line="276"/>
      </w:pPr>
      <w:r>
        <w:rPr>
          <w:rFonts w:ascii="Calibri" w:cs="Calibri" w:eastAsia="Calibri" w:hAnsi="Calibri"/>
          <w:color w:val="1B1F24"/>
          <w:sz w:val="21"/>
          <w:szCs w:val="21"/>
        </w:rPr>
        <w:t xml:space="preserve">Write like a real chat message: one to four short, natural sentences, no markdown formatting.</w:t>
      </w:r>
    </w:p>
    <w:p>
      <w:pPr>
        <w:pStyle w:val="ListParagraph"/>
        <w:numPr>
          <w:ilvl w:val="0"/>
          <w:numId w:val="3"/>
        </w:numPr>
        <w:spacing w:after="90" w:line="276"/>
      </w:pPr>
      <w:r>
        <w:rPr>
          <w:rFonts w:ascii="Calibri" w:cs="Calibri" w:eastAsia="Calibri" w:hAnsi="Calibri"/>
          <w:color w:val="1B1F24"/>
          <w:sz w:val="21"/>
          <w:szCs w:val="21"/>
        </w:rPr>
        <w:t xml:space="preserve">Let mood shift gradually and realistically — genuine empathy and visible progress should calm the client over the course of the conversation; being dismissed, met with jargon, or given no real progress should escalate them.</w:t>
      </w:r>
    </w:p>
    <w:p>
      <w:pPr>
        <w:pStyle w:val="ListParagraph"/>
        <w:numPr>
          <w:ilvl w:val="0"/>
          <w:numId w:val="3"/>
        </w:numPr>
        <w:spacing w:after="90" w:line="276"/>
      </w:pPr>
      <w:r>
        <w:rPr>
          <w:rFonts w:ascii="Calibri" w:cs="Calibri" w:eastAsia="Calibri" w:hAnsi="Calibri"/>
          <w:color w:val="1B1F24"/>
          <w:sz w:val="21"/>
          <w:szCs w:val="21"/>
        </w:rPr>
        <w:t xml:space="preserve">Move the satisfaction value incrementally each turn rather than jumping sharply.</w:t>
      </w:r>
    </w:p>
    <w:p>
      <w:pPr>
        <w:pStyle w:val="ListParagraph"/>
        <w:numPr>
          <w:ilvl w:val="0"/>
          <w:numId w:val="3"/>
        </w:numPr>
        <w:spacing w:after="90" w:line="276"/>
      </w:pPr>
      <w:r>
        <w:rPr>
          <w:rFonts w:ascii="Calibri" w:cs="Calibri" w:eastAsia="Calibri" w:hAnsi="Calibri"/>
          <w:color w:val="1B1F24"/>
          <w:sz w:val="21"/>
          <w:szCs w:val="21"/>
        </w:rPr>
        <w:t xml:space="preserve">Only report status "resolved" once the issue is actually fixed or correctly redirected/escalated and the client accepts that outcome.</w:t>
      </w:r>
    </w:p>
    <w:p>
      <w:pPr>
        <w:pStyle w:val="ListParagraph"/>
        <w:numPr>
          <w:ilvl w:val="0"/>
          <w:numId w:val="3"/>
        </w:numPr>
        <w:spacing w:after="90" w:line="276"/>
      </w:pPr>
      <w:r>
        <w:rPr>
          <w:rFonts w:ascii="Calibri" w:cs="Calibri" w:eastAsia="Calibri" w:hAnsi="Calibri"/>
          <w:color w:val="1B1F24"/>
          <w:sz w:val="21"/>
          <w:szCs w:val="21"/>
        </w:rPr>
        <w:t xml:space="preserve">Report status "escalated" if the client becomes frustrated enough to give up on the agent and demand another channel.</w:t>
      </w:r>
    </w:p>
    <w:p>
      <w:pPr>
        <w:pStyle w:val="ListParagraph"/>
        <w:numPr>
          <w:ilvl w:val="0"/>
          <w:numId w:val="3"/>
        </w:numPr>
        <w:spacing w:after="90" w:line="276"/>
      </w:pPr>
      <w:r>
        <w:rPr>
          <w:rFonts w:ascii="Calibri" w:cs="Calibri" w:eastAsia="Calibri" w:hAnsi="Calibri"/>
          <w:color w:val="1B1F24"/>
          <w:sz w:val="21"/>
          <w:szCs w:val="21"/>
        </w:rPr>
        <w:t xml:space="preserve">Otherwise, report status "ongoing".</w:t>
      </w:r>
    </w:p>
    <w:p>
      <w:pPr>
        <w:pStyle w:val="Heading1"/>
        <w:spacing w:after="200" w:before="420"/>
      </w:pPr>
      <w:r>
        <w:rPr>
          <w:rFonts w:ascii="Calibri" w:cs="Calibri" w:eastAsia="Calibri" w:hAnsi="Calibri"/>
          <w:b/>
          <w:bCs/>
          <w:color w:val="1B1F24"/>
          <w:sz w:val="30"/>
          <w:szCs w:val="30"/>
        </w:rPr>
        <w:t xml:space="preserve">8. Session Lifecycle</w:t>
      </w:r>
    </w:p>
    <w:p>
      <w:pPr>
        <w:spacing w:after="160" w:line="288"/>
      </w:pPr>
      <w:r>
        <w:rPr>
          <w:rFonts w:ascii="Calibri" w:cs="Calibri" w:eastAsia="Calibri" w:hAnsi="Calibri"/>
          <w:i w:val="false"/>
          <w:iCs w:val="false"/>
          <w:color w:val="1B1F24"/>
          <w:sz w:val="21"/>
          <w:szCs w:val="21"/>
        </w:rPr>
        <w:t xml:space="preserve">A session moves through a fixed sequence of states from setup to report:</w:t>
      </w:r>
    </w:p>
    <w:p>
      <w:pPr>
        <w:pStyle w:val="ListParagraph"/>
        <w:numPr>
          <w:ilvl w:val="0"/>
          <w:numId w:val="4"/>
        </w:numPr>
        <w:spacing w:after="90" w:line="276"/>
      </w:pPr>
      <w:r>
        <w:rPr>
          <w:rFonts w:ascii="Calibri" w:cs="Calibri" w:eastAsia="Calibri" w:hAnsi="Calibri"/>
          <w:color w:val="1B1F24"/>
          <w:sz w:val="21"/>
          <w:szCs w:val="21"/>
        </w:rPr>
        <w:t xml:space="preserve">Trainee selects a mood and a scenario on the setup screen and starts the ticket.</w:t>
      </w:r>
    </w:p>
    <w:p>
      <w:pPr>
        <w:pStyle w:val="ListParagraph"/>
        <w:numPr>
          <w:ilvl w:val="0"/>
          <w:numId w:val="4"/>
        </w:numPr>
        <w:spacing w:after="90" w:line="276"/>
      </w:pPr>
      <w:r>
        <w:rPr>
          <w:rFonts w:ascii="Calibri" w:cs="Calibri" w:eastAsia="Calibri" w:hAnsi="Calibri"/>
          <w:color w:val="1B1F24"/>
          <w:sz w:val="21"/>
          <w:szCs w:val="21"/>
        </w:rPr>
        <w:t xml:space="preserve">The frontend sends a [SESSION START] kickoff message to /api/turn; the model opens the conversation in character, and the temperature gauge is set to the mood’s starting value.</w:t>
      </w:r>
    </w:p>
    <w:p>
      <w:pPr>
        <w:pStyle w:val="ListParagraph"/>
        <w:numPr>
          <w:ilvl w:val="0"/>
          <w:numId w:val="4"/>
        </w:numPr>
        <w:spacing w:after="90" w:line="276"/>
      </w:pPr>
      <w:r>
        <w:rPr>
          <w:rFonts w:ascii="Calibri" w:cs="Calibri" w:eastAsia="Calibri" w:hAnsi="Calibri"/>
          <w:color w:val="1B1F24"/>
          <w:sz w:val="21"/>
          <w:szCs w:val="21"/>
        </w:rPr>
        <w:t xml:space="preserve">The trainee replies; each reply is appended to the local history and sent to /api/turn along with the full prior transcript.</w:t>
      </w:r>
    </w:p>
    <w:p>
      <w:pPr>
        <w:pStyle w:val="ListParagraph"/>
        <w:numPr>
          <w:ilvl w:val="0"/>
          <w:numId w:val="4"/>
        </w:numPr>
        <w:spacing w:after="90" w:line="276"/>
      </w:pPr>
      <w:r>
        <w:rPr>
          <w:rFonts w:ascii="Calibri" w:cs="Calibri" w:eastAsia="Calibri" w:hAnsi="Calibri"/>
          <w:color w:val="1B1F24"/>
          <w:sz w:val="21"/>
          <w:szCs w:val="21"/>
        </w:rPr>
        <w:t xml:space="preserve">Every response updates the visible transcript, the temperature gauge, and is checked for a status other than "ongoing".</w:t>
      </w:r>
    </w:p>
    <w:p>
      <w:pPr>
        <w:pStyle w:val="ListParagraph"/>
        <w:numPr>
          <w:ilvl w:val="0"/>
          <w:numId w:val="4"/>
        </w:numPr>
        <w:spacing w:after="90" w:line="276"/>
      </w:pPr>
      <w:r>
        <w:rPr>
          <w:rFonts w:ascii="Calibri" w:cs="Calibri" w:eastAsia="Calibri" w:hAnsi="Calibri"/>
          <w:color w:val="1B1F24"/>
          <w:sz w:val="21"/>
          <w:szCs w:val="21"/>
        </w:rPr>
        <w:t xml:space="preserve">The session ends when the model reports "resolved" or "escalated", or when the trainee clicks "End test now" (only available once at least one reply has been sent).</w:t>
      </w:r>
    </w:p>
    <w:p>
      <w:pPr>
        <w:pStyle w:val="ListParagraph"/>
        <w:numPr>
          <w:ilvl w:val="0"/>
          <w:numId w:val="4"/>
        </w:numPr>
        <w:spacing w:after="90" w:line="276"/>
      </w:pPr>
      <w:r>
        <w:rPr>
          <w:rFonts w:ascii="Calibri" w:cs="Calibri" w:eastAsia="Calibri" w:hAnsi="Calibri"/>
          <w:color w:val="1B1F24"/>
          <w:sz w:val="21"/>
          <w:szCs w:val="21"/>
        </w:rPr>
        <w:t xml:space="preserve">On end, the full transcript, scenario, mood, and final status are sent to /api/score, and the report screen renders the returned scores, verdict, and feedback lists.</w:t>
      </w:r>
    </w:p>
    <w:p>
      <w:pPr>
        <w:pStyle w:val="ListParagraph"/>
        <w:numPr>
          <w:ilvl w:val="0"/>
          <w:numId w:val="4"/>
        </w:numPr>
        <w:spacing w:after="90" w:line="276"/>
      </w:pPr>
      <w:r>
        <w:rPr>
          <w:rFonts w:ascii="Calibri" w:cs="Calibri" w:eastAsia="Calibri" w:hAnsi="Calibri"/>
          <w:color w:val="1B1F24"/>
          <w:sz w:val="21"/>
          <w:szCs w:val="21"/>
        </w:rPr>
        <w:t xml:space="preserve">The trainee may download a text copy of the report or start a new ticket, which resets all local state.</w:t>
      </w:r>
    </w:p>
    <w:p>
      <w:pPr>
        <w:pStyle w:val="Heading1"/>
        <w:spacing w:after="200" w:before="420"/>
      </w:pPr>
      <w:r>
        <w:rPr>
          <w:rFonts w:ascii="Calibri" w:cs="Calibri" w:eastAsia="Calibri" w:hAnsi="Calibri"/>
          <w:b/>
          <w:bCs/>
          <w:color w:val="1B1F24"/>
          <w:sz w:val="30"/>
          <w:szCs w:val="30"/>
        </w:rPr>
        <w:t xml:space="preserve">9. Project Structure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7000"/>
      </w:tblGrid>
      <w:tr>
        <w:trPr>
          <w:tblHeader/>
        </w:trPr>
        <w:tc>
          <w:tcPr>
            <w:tcW w:type="dxa" w:w="23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Path</w:t>
            </w:r>
          </w:p>
        </w:tc>
        <w:tc>
          <w:tcPr>
            <w:tcW w:type="dxa" w:w="7000"/>
            <w:shd w:fill="2E5FDC" w:val="clear"/>
            <w:tcMar>
              <w:top w:type="dxa" w:w="90"/>
              <w:left w:type="dxa" w:w="110"/>
              <w:bottom w:type="dxa" w:w="90"/>
              <w:right w:type="dxa" w:w="110"/>
            </w:tcMar>
            <w:vAlign w:val="center"/>
          </w:tcPr>
          <w:p>
            <w:pPr>
              <w:spacing w:after="0"/>
            </w:pPr>
            <w:r>
              <w:rPr>
                <w:rFonts w:ascii="Calibri" w:cs="Calibri" w:eastAsia="Calibri" w:hAnsi="Calibri"/>
                <w:b/>
                <w:bCs/>
                <w:color w:val="FFFFFF"/>
                <w:sz w:val="19"/>
                <w:szCs w:val="19"/>
              </w:rPr>
              <w:t xml:space="preserve">Description</w:t>
            </w:r>
          </w:p>
        </w:tc>
      </w:tr>
      <w:tr>
        <w:tc>
          <w:tcPr>
            <w:tcW w:type="dxa" w:w="23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index.html</w:t>
            </w:r>
          </w:p>
        </w:tc>
        <w:tc>
          <w:tcPr>
            <w:tcW w:type="dxa" w:w="70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Complete frontend: markup, styling, and client-side logic for all three screens</w:t>
            </w:r>
          </w:p>
        </w:tc>
      </w:tr>
      <w:tr>
        <w:tc>
          <w:tcPr>
            <w:tcW w:type="dxa" w:w="23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server.js</w:t>
            </w:r>
          </w:p>
        </w:tc>
        <w:tc>
          <w:tcPr>
            <w:tcW w:type="dxa" w:w="70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Express backend; serves index.html and exposes /api/turn and /api/score</w:t>
            </w:r>
          </w:p>
        </w:tc>
      </w:tr>
      <w:tr>
        <w:tc>
          <w:tcPr>
            <w:tcW w:type="dxa" w:w="23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package.json / package-lock.json</w:t>
            </w:r>
          </w:p>
        </w:tc>
        <w:tc>
          <w:tcPr>
            <w:tcW w:type="dxa" w:w="70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Project metadata and dependency lock (express, dotenv)</w:t>
            </w:r>
          </w:p>
        </w:tc>
      </w:tr>
      <w:tr>
        <w:tc>
          <w:tcPr>
            <w:tcW w:type="dxa" w:w="23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env.example</w:t>
            </w:r>
          </w:p>
        </w:tc>
        <w:tc>
          <w:tcPr>
            <w:tcW w:type="dxa" w:w="70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Template showing the required GEMINI_API_KEY environment variable</w:t>
            </w:r>
          </w:p>
        </w:tc>
      </w:tr>
      <w:tr>
        <w:tc>
          <w:tcPr>
            <w:tcW w:type="dxa" w:w="23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vercel.json</w:t>
            </w:r>
          </w:p>
        </w:tc>
        <w:tc>
          <w:tcPr>
            <w:tcW w:type="dxa" w:w="7000"/>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Deployment configuration that bundles index.html alongside the server.js serverless function</w:t>
            </w:r>
          </w:p>
        </w:tc>
      </w:tr>
      <w:tr>
        <w:tc>
          <w:tcPr>
            <w:tcW w:type="dxa" w:w="23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README.md</w:t>
            </w:r>
          </w:p>
        </w:tc>
        <w:tc>
          <w:tcPr>
            <w:tcW w:type="dxa" w:w="7000"/>
            <w:shd w:fill="EEF2F9" w:val="clear"/>
            <w:tcMar>
              <w:top w:type="dxa" w:w="90"/>
              <w:left w:type="dxa" w:w="110"/>
              <w:bottom w:type="dxa" w:w="90"/>
              <w:right w:type="dxa" w:w="110"/>
            </w:tcMar>
            <w:vAlign w:val="center"/>
          </w:tcPr>
          <w:p>
            <w:pPr>
              <w:spacing w:after="0"/>
            </w:pPr>
            <w:r>
              <w:rPr>
                <w:rFonts w:ascii="Calibri" w:cs="Calibri" w:eastAsia="Calibri" w:hAnsi="Calibri"/>
                <w:b w:val="false"/>
                <w:bCs w:val="false"/>
                <w:color w:val="1B1F24"/>
                <w:sz w:val="19"/>
                <w:szCs w:val="19"/>
              </w:rPr>
              <w:t xml:space="preserve">Setup and run instructions for local development and deployment</w:t>
            </w:r>
          </w:p>
        </w:tc>
      </w:tr>
    </w:tbl>
    <w:p>
      <w:pPr>
        <w:pStyle w:val="Heading1"/>
        <w:spacing w:after="200" w:before="420"/>
      </w:pPr>
      <w:r>
        <w:rPr>
          <w:rFonts w:ascii="Calibri" w:cs="Calibri" w:eastAsia="Calibri" w:hAnsi="Calibri"/>
          <w:b/>
          <w:bCs/>
          <w:color w:val="1B1F24"/>
          <w:sz w:val="30"/>
          <w:szCs w:val="30"/>
        </w:rPr>
        <w:t xml:space="preserve">10. Setup and Deployment</w:t>
      </w:r>
    </w:p>
    <w:p>
      <w:pPr>
        <w:pStyle w:val="Heading2"/>
        <w:spacing w:after="140" w:before="320"/>
      </w:pPr>
      <w:r>
        <w:rPr>
          <w:rFonts w:ascii="Calibri" w:cs="Calibri" w:eastAsia="Calibri" w:hAnsi="Calibri"/>
          <w:b/>
          <w:bCs/>
          <w:color w:val="2E5FDC"/>
          <w:sz w:val="24"/>
          <w:szCs w:val="24"/>
        </w:rPr>
        <w:t xml:space="preserve">10.1 Local Development</w:t>
      </w:r>
    </w:p>
    <w:p>
      <w:pPr>
        <w:pStyle w:val="ListParagraph"/>
        <w:numPr>
          <w:ilvl w:val="0"/>
          <w:numId w:val="5"/>
        </w:numPr>
        <w:spacing w:after="90" w:line="276"/>
      </w:pPr>
      <w:r>
        <w:rPr>
          <w:rFonts w:ascii="Calibri" w:cs="Calibri" w:eastAsia="Calibri" w:hAnsi="Calibri"/>
          <w:color w:val="1B1F24"/>
          <w:sz w:val="21"/>
          <w:szCs w:val="21"/>
        </w:rPr>
        <w:t xml:space="preserve">Install dependencies: npm install</w:t>
      </w:r>
    </w:p>
    <w:p>
      <w:pPr>
        <w:pStyle w:val="ListParagraph"/>
        <w:numPr>
          <w:ilvl w:val="0"/>
          <w:numId w:val="5"/>
        </w:numPr>
        <w:spacing w:after="90" w:line="276"/>
      </w:pPr>
      <w:r>
        <w:rPr>
          <w:rFonts w:ascii="Calibri" w:cs="Calibri" w:eastAsia="Calibri" w:hAnsi="Calibri"/>
          <w:color w:val="1B1F24"/>
          <w:sz w:val="21"/>
          <w:szCs w:val="21"/>
        </w:rPr>
        <w:t xml:space="preserve">Create a .env file from env.example and set GEMINI_API_KEY to a real key from https://aistudio.google.com/apikey</w:t>
      </w:r>
    </w:p>
    <w:p>
      <w:pPr>
        <w:pStyle w:val="ListParagraph"/>
        <w:numPr>
          <w:ilvl w:val="0"/>
          <w:numId w:val="5"/>
        </w:numPr>
        <w:spacing w:after="90" w:line="276"/>
      </w:pPr>
      <w:r>
        <w:rPr>
          <w:rFonts w:ascii="Calibri" w:cs="Calibri" w:eastAsia="Calibri" w:hAnsi="Calibri"/>
          <w:color w:val="1B1F24"/>
          <w:sz w:val="21"/>
          <w:szCs w:val="21"/>
        </w:rPr>
        <w:t xml:space="preserve">Start the server: npm start</w:t>
      </w:r>
    </w:p>
    <w:p>
      <w:pPr>
        <w:pStyle w:val="ListParagraph"/>
        <w:numPr>
          <w:ilvl w:val="0"/>
          <w:numId w:val="5"/>
        </w:numPr>
        <w:spacing w:after="90" w:line="276"/>
      </w:pPr>
      <w:r>
        <w:rPr>
          <w:rFonts w:ascii="Calibri" w:cs="Calibri" w:eastAsia="Calibri" w:hAnsi="Calibri"/>
          <w:color w:val="1B1F24"/>
          <w:sz w:val="21"/>
          <w:szCs w:val="21"/>
        </w:rPr>
        <w:t xml:space="preserve">Open http://localhost:3000 in a browser</w:t>
      </w:r>
    </w:p>
    <w:p>
      <w:pPr>
        <w:pStyle w:val="Heading2"/>
        <w:spacing w:after="140" w:before="320"/>
      </w:pPr>
      <w:r>
        <w:rPr>
          <w:rFonts w:ascii="Calibri" w:cs="Calibri" w:eastAsia="Calibri" w:hAnsi="Calibri"/>
          <w:b/>
          <w:bCs/>
          <w:color w:val="2E5FDC"/>
          <w:sz w:val="24"/>
          <w:szCs w:val="24"/>
        </w:rPr>
        <w:t xml:space="preserve">10.2 Production Deployment</w:t>
      </w:r>
    </w:p>
    <w:p>
      <w:pPr>
        <w:spacing w:after="160" w:line="288"/>
      </w:pPr>
      <w:r>
        <w:rPr>
          <w:rFonts w:ascii="Calibri" w:cs="Calibri" w:eastAsia="Calibri" w:hAnsi="Calibri"/>
          <w:i w:val="false"/>
          <w:iCs w:val="false"/>
          <w:color w:val="1B1F24"/>
          <w:sz w:val="21"/>
          <w:szCs w:val="21"/>
        </w:rPr>
        <w:t xml:space="preserve">The application is designed to run on any host that can run a persistent or serverless Node process. A vercel.json configuration is included, which bundles index.html as a static file alongside the server.js function. For any host:</w:t>
      </w:r>
    </w:p>
    <w:p>
      <w:pPr>
        <w:pStyle w:val="ListParagraph"/>
        <w:numPr>
          <w:ilvl w:val="0"/>
          <w:numId w:val="2"/>
        </w:numPr>
        <w:spacing w:after="90" w:line="276"/>
      </w:pPr>
      <w:r>
        <w:rPr>
          <w:rFonts w:ascii="Calibri" w:cs="Calibri" w:eastAsia="Calibri" w:hAnsi="Calibri"/>
          <w:color w:val="1B1F24"/>
          <w:sz w:val="21"/>
          <w:szCs w:val="21"/>
        </w:rPr>
        <w:t xml:space="preserve">Set GEMINI_API_KEY as an environment variable in the hosting provider’s project settings — never commit a real key to source control.</w:t>
      </w:r>
    </w:p>
    <w:p>
      <w:pPr>
        <w:pStyle w:val="ListParagraph"/>
        <w:numPr>
          <w:ilvl w:val="0"/>
          <w:numId w:val="2"/>
        </w:numPr>
        <w:spacing w:after="90" w:line="276"/>
      </w:pPr>
      <w:r>
        <w:rPr>
          <w:rFonts w:ascii="Calibri" w:cs="Calibri" w:eastAsia="Calibri" w:hAnsi="Calibri"/>
          <w:color w:val="1B1F24"/>
          <w:sz w:val="21"/>
          <w:szCs w:val="21"/>
        </w:rPr>
        <w:t xml:space="preserve">Ensure npm install runs during the build step.</w:t>
      </w:r>
    </w:p>
    <w:p>
      <w:pPr>
        <w:pStyle w:val="ListParagraph"/>
        <w:numPr>
          <w:ilvl w:val="0"/>
          <w:numId w:val="2"/>
        </w:numPr>
        <w:spacing w:after="90" w:line="276"/>
      </w:pPr>
      <w:r>
        <w:rPr>
          <w:rFonts w:ascii="Calibri" w:cs="Calibri" w:eastAsia="Calibri" w:hAnsi="Calibri"/>
          <w:color w:val="1B1F24"/>
          <w:sz w:val="21"/>
          <w:szCs w:val="21"/>
        </w:rPr>
        <w:t xml:space="preserve">Start the process with npm start (node server.js).</w:t>
      </w:r>
    </w:p>
    <w:p>
      <w:pPr>
        <w:pStyle w:val="ListParagraph"/>
        <w:numPr>
          <w:ilvl w:val="0"/>
          <w:numId w:val="2"/>
        </w:numPr>
        <w:spacing w:after="90" w:line="276"/>
      </w:pPr>
      <w:r>
        <w:rPr>
          <w:rFonts w:ascii="Calibri" w:cs="Calibri" w:eastAsia="Calibri" w:hAnsi="Calibri"/>
          <w:color w:val="1B1F24"/>
          <w:sz w:val="21"/>
          <w:szCs w:val="21"/>
        </w:rPr>
        <w:t xml:space="preserve">No database or persistent storage is required; the application is fully stateless between sessions.</w:t>
      </w:r>
    </w:p>
    <w:p>
      <w:pPr>
        <w:pStyle w:val="Heading1"/>
        <w:spacing w:after="200" w:before="420"/>
      </w:pPr>
      <w:r>
        <w:rPr>
          <w:rFonts w:ascii="Calibri" w:cs="Calibri" w:eastAsia="Calibri" w:hAnsi="Calibri"/>
          <w:b/>
          <w:bCs/>
          <w:color w:val="1B1F24"/>
          <w:sz w:val="30"/>
          <w:szCs w:val="30"/>
        </w:rPr>
        <w:t xml:space="preserve">11. Security Considerations</w:t>
      </w:r>
    </w:p>
    <w:p>
      <w:pPr>
        <w:pStyle w:val="ListParagraph"/>
        <w:numPr>
          <w:ilvl w:val="0"/>
          <w:numId w:val="2"/>
        </w:numPr>
        <w:spacing w:after="90" w:line="276"/>
      </w:pPr>
      <w:r>
        <w:rPr>
          <w:rFonts w:ascii="Calibri" w:cs="Calibri" w:eastAsia="Calibri" w:hAnsi="Calibri"/>
          <w:color w:val="1B1F24"/>
          <w:sz w:val="21"/>
          <w:szCs w:val="21"/>
        </w:rPr>
        <w:t xml:space="preserve">API key isolation: the Gemini key lives only in the server process’s environment and is never transmitted to or readable from the browser.</w:t>
      </w:r>
    </w:p>
    <w:p>
      <w:pPr>
        <w:pStyle w:val="ListParagraph"/>
        <w:numPr>
          <w:ilvl w:val="0"/>
          <w:numId w:val="2"/>
        </w:numPr>
        <w:spacing w:after="90" w:line="276"/>
      </w:pPr>
      <w:r>
        <w:rPr>
          <w:rFonts w:ascii="Calibri" w:cs="Calibri" w:eastAsia="Calibri" w:hAnsi="Calibri"/>
          <w:color w:val="1B1F24"/>
          <w:sz w:val="21"/>
          <w:szCs w:val="21"/>
        </w:rPr>
        <w:t xml:space="preserve">No authentication layer: this release has no login or access control, so it should be deployed in a trusted or access-restricted environment (e.g. behind an internal network, VPN, or a hosting-level access gate) until an authentication layer is added.</w:t>
      </w:r>
    </w:p>
    <w:p>
      <w:pPr>
        <w:pStyle w:val="ListParagraph"/>
        <w:numPr>
          <w:ilvl w:val="0"/>
          <w:numId w:val="2"/>
        </w:numPr>
        <w:spacing w:after="90" w:line="276"/>
      </w:pPr>
      <w:r>
        <w:rPr>
          <w:rFonts w:ascii="Calibri" w:cs="Calibri" w:eastAsia="Calibri" w:hAnsi="Calibri"/>
          <w:color w:val="1B1F24"/>
          <w:sz w:val="21"/>
          <w:szCs w:val="21"/>
        </w:rPr>
        <w:t xml:space="preserve">Input handling: agent messages are inserted into the conversation as plain data fields in the Gemini request, not concatenated into a shell command or evaluated as code, which limits injection risk to prompt-level manipulation rather than system compromise.</w:t>
      </w:r>
    </w:p>
    <w:p>
      <w:pPr>
        <w:pStyle w:val="ListParagraph"/>
        <w:numPr>
          <w:ilvl w:val="0"/>
          <w:numId w:val="2"/>
        </w:numPr>
        <w:spacing w:after="90" w:line="276"/>
      </w:pPr>
      <w:r>
        <w:rPr>
          <w:rFonts w:ascii="Calibri" w:cs="Calibri" w:eastAsia="Calibri" w:hAnsi="Calibri"/>
          <w:color w:val="1B1F24"/>
          <w:sz w:val="21"/>
          <w:szCs w:val="21"/>
        </w:rPr>
        <w:t xml:space="preserve">Source control hygiene: the repository currently includes a file named "download" that contains the intended .gitignore rules (node_modules/, .env) but is not recognized by git under that name. This should be renamed to .gitignore before the .env file is ever created locally, to avoid accidentally committing a real API key.</w:t>
      </w:r>
    </w:p>
    <w:p>
      <w:pPr>
        <w:pStyle w:val="Heading1"/>
        <w:spacing w:after="200" w:before="420"/>
      </w:pPr>
      <w:r>
        <w:rPr>
          <w:rFonts w:ascii="Calibri" w:cs="Calibri" w:eastAsia="Calibri" w:hAnsi="Calibri"/>
          <w:b/>
          <w:bCs/>
          <w:color w:val="1B1F24"/>
          <w:sz w:val="30"/>
          <w:szCs w:val="30"/>
        </w:rPr>
        <w:t xml:space="preserve">12. Known Limitations and Future Enhancements</w:t>
      </w:r>
    </w:p>
    <w:p>
      <w:pPr>
        <w:pStyle w:val="Heading2"/>
        <w:spacing w:after="140" w:before="320"/>
      </w:pPr>
      <w:r>
        <w:rPr>
          <w:rFonts w:ascii="Calibri" w:cs="Calibri" w:eastAsia="Calibri" w:hAnsi="Calibri"/>
          <w:b/>
          <w:bCs/>
          <w:color w:val="2E5FDC"/>
          <w:sz w:val="24"/>
          <w:szCs w:val="24"/>
        </w:rPr>
        <w:t xml:space="preserve">12.1 Known Limitations</w:t>
      </w:r>
    </w:p>
    <w:p>
      <w:pPr>
        <w:pStyle w:val="ListParagraph"/>
        <w:numPr>
          <w:ilvl w:val="0"/>
          <w:numId w:val="2"/>
        </w:numPr>
        <w:spacing w:after="90" w:line="276"/>
      </w:pPr>
      <w:r>
        <w:rPr>
          <w:rFonts w:ascii="Calibri" w:cs="Calibri" w:eastAsia="Calibri" w:hAnsi="Calibri"/>
          <w:color w:val="1B1F24"/>
          <w:sz w:val="21"/>
          <w:szCs w:val="21"/>
        </w:rPr>
        <w:t xml:space="preserve">No persistence: scores and transcripts exist only in the browser tab and are lost on refresh unless downloaded.</w:t>
      </w:r>
    </w:p>
    <w:p>
      <w:pPr>
        <w:pStyle w:val="ListParagraph"/>
        <w:numPr>
          <w:ilvl w:val="0"/>
          <w:numId w:val="2"/>
        </w:numPr>
        <w:spacing w:after="90" w:line="276"/>
      </w:pPr>
      <w:r>
        <w:rPr>
          <w:rFonts w:ascii="Calibri" w:cs="Calibri" w:eastAsia="Calibri" w:hAnsi="Calibri"/>
          <w:color w:val="1B1F24"/>
          <w:sz w:val="21"/>
          <w:szCs w:val="21"/>
        </w:rPr>
        <w:t xml:space="preserve">No authentication or per-user tracking, so results cannot currently be aggregated across a team.</w:t>
      </w:r>
    </w:p>
    <w:p>
      <w:pPr>
        <w:pStyle w:val="ListParagraph"/>
        <w:numPr>
          <w:ilvl w:val="0"/>
          <w:numId w:val="2"/>
        </w:numPr>
        <w:spacing w:after="90" w:line="276"/>
      </w:pPr>
      <w:r>
        <w:rPr>
          <w:rFonts w:ascii="Calibri" w:cs="Calibri" w:eastAsia="Calibri" w:hAnsi="Calibri"/>
          <w:color w:val="1B1F24"/>
          <w:sz w:val="21"/>
          <w:szCs w:val="21"/>
        </w:rPr>
        <w:t xml:space="preserve">The scenario list is fixed to four items with no custom-scenario option in this release.</w:t>
      </w:r>
    </w:p>
    <w:p>
      <w:pPr>
        <w:pStyle w:val="ListParagraph"/>
        <w:numPr>
          <w:ilvl w:val="0"/>
          <w:numId w:val="2"/>
        </w:numPr>
        <w:spacing w:after="90" w:line="276"/>
      </w:pPr>
      <w:r>
        <w:rPr>
          <w:rFonts w:ascii="Calibri" w:cs="Calibri" w:eastAsia="Calibri" w:hAnsi="Calibri"/>
          <w:color w:val="1B1F24"/>
          <w:sz w:val="21"/>
          <w:szCs w:val="21"/>
        </w:rPr>
        <w:t xml:space="preserve">The misnamed .gitignore file (see §11) should be corrected before wider distribution of the repository.</w:t>
      </w:r>
    </w:p>
    <w:p>
      <w:pPr>
        <w:pStyle w:val="Heading2"/>
        <w:spacing w:after="140" w:before="320"/>
      </w:pPr>
      <w:r>
        <w:rPr>
          <w:rFonts w:ascii="Calibri" w:cs="Calibri" w:eastAsia="Calibri" w:hAnsi="Calibri"/>
          <w:b/>
          <w:bCs/>
          <w:color w:val="2E5FDC"/>
          <w:sz w:val="24"/>
          <w:szCs w:val="24"/>
        </w:rPr>
        <w:t xml:space="preserve">12.2 Suggested Enhancements</w:t>
      </w:r>
    </w:p>
    <w:p>
      <w:pPr>
        <w:pStyle w:val="ListParagraph"/>
        <w:numPr>
          <w:ilvl w:val="0"/>
          <w:numId w:val="2"/>
        </w:numPr>
        <w:spacing w:after="90" w:line="276"/>
      </w:pPr>
      <w:r>
        <w:rPr>
          <w:rFonts w:ascii="Calibri" w:cs="Calibri" w:eastAsia="Calibri" w:hAnsi="Calibri"/>
          <w:color w:val="1B1F24"/>
          <w:sz w:val="21"/>
          <w:szCs w:val="21"/>
        </w:rPr>
        <w:t xml:space="preserve">Add lightweight authentication and a persistence layer (e.g. a small database) to track trainee progress over time.</w:t>
      </w:r>
    </w:p>
    <w:p>
      <w:pPr>
        <w:pStyle w:val="ListParagraph"/>
        <w:numPr>
          <w:ilvl w:val="0"/>
          <w:numId w:val="2"/>
        </w:numPr>
        <w:spacing w:after="90" w:line="276"/>
      </w:pPr>
      <w:r>
        <w:rPr>
          <w:rFonts w:ascii="Calibri" w:cs="Calibri" w:eastAsia="Calibri" w:hAnsi="Calibri"/>
          <w:color w:val="1B1F24"/>
          <w:sz w:val="21"/>
          <w:szCs w:val="21"/>
        </w:rPr>
        <w:t xml:space="preserve">Re-introduce a custom-scenario text field alongside the fixed presets for trainers who want to script specific incidents.</w:t>
      </w:r>
    </w:p>
    <w:p>
      <w:pPr>
        <w:pStyle w:val="ListParagraph"/>
        <w:numPr>
          <w:ilvl w:val="0"/>
          <w:numId w:val="2"/>
        </w:numPr>
        <w:spacing w:after="90" w:line="276"/>
      </w:pPr>
      <w:r>
        <w:rPr>
          <w:rFonts w:ascii="Calibri" w:cs="Calibri" w:eastAsia="Calibri" w:hAnsi="Calibri"/>
          <w:color w:val="1B1F24"/>
          <w:sz w:val="21"/>
          <w:szCs w:val="21"/>
        </w:rPr>
        <w:t xml:space="preserve">Add a trainer-facing dashboard summarizing scores across a team or cohort.</w:t>
      </w:r>
    </w:p>
    <w:p>
      <w:pPr>
        <w:pStyle w:val="ListParagraph"/>
        <w:numPr>
          <w:ilvl w:val="0"/>
          <w:numId w:val="2"/>
        </w:numPr>
        <w:spacing w:after="90" w:line="276"/>
      </w:pPr>
      <w:r>
        <w:rPr>
          <w:rFonts w:ascii="Calibri" w:cs="Calibri" w:eastAsia="Calibri" w:hAnsi="Calibri"/>
          <w:color w:val="1B1F24"/>
          <w:sz w:val="21"/>
          <w:szCs w:val="21"/>
        </w:rPr>
        <w:t xml:space="preserve">Stream model responses token-by-token to reduce perceived latency on longer replies.</w:t>
      </w:r>
    </w:p>
    <w:p>
      <w:pPr>
        <w:pStyle w:val="Heading1"/>
        <w:spacing w:after="200" w:before="420"/>
      </w:pPr>
      <w:r>
        <w:rPr>
          <w:rFonts w:ascii="Calibri" w:cs="Calibri" w:eastAsia="Calibri" w:hAnsi="Calibri"/>
          <w:b/>
          <w:bCs/>
          <w:color w:val="1B1F24"/>
          <w:sz w:val="30"/>
          <w:szCs w:val="30"/>
        </w:rPr>
        <w:t xml:space="preserve">Appendix A: JSON Schemas</w:t>
      </w:r>
    </w:p>
    <w:p>
      <w:pPr>
        <w:pStyle w:val="Heading3"/>
        <w:spacing w:after="100" w:before="220"/>
      </w:pPr>
      <w:r>
        <w:rPr>
          <w:rFonts w:ascii="Calibri" w:cs="Calibri" w:eastAsia="Calibri" w:hAnsi="Calibri"/>
          <w:b/>
          <w:bCs/>
          <w:color w:val="1B1F24"/>
          <w:sz w:val="21"/>
          <w:szCs w:val="21"/>
        </w:rPr>
        <w:t xml:space="preserve">A.1 TURN_SCHEMA</w:t>
      </w:r>
    </w:p>
    <w:p>
      <w:pPr>
        <w:pBdr>
          <w:top w:val="single" w:color="D9DEE4" w:sz="4"/>
          <w:bottom w:val="single" w:color="D9DEE4" w:sz="4"/>
          <w:left w:val="single" w:color="D9DEE4" w:sz="4"/>
          <w:right w:val="single" w:color="D9DEE4" w:sz="4"/>
        </w:pBdr>
        <w:shd w:fill="F4F6F8" w:val="clear"/>
        <w:spacing w:after="200" w:before="100"/>
      </w:pPr>
      <w:r>
        <w:rPr>
          <w:rFonts w:ascii="Consolas" w:cs="Consolas" w:eastAsia="Consolas" w:hAnsi="Consolas"/>
          <w:color w:val="1B1F24"/>
          <w:sz w:val="18"/>
          <w:szCs w:val="18"/>
        </w:rPr>
        <w:t xml:space="preserve">{</w:t>
      </w:r>
      <w:r>
        <w:rPr>
          <w:rFonts w:ascii="Consolas" w:cs="Consolas" w:eastAsia="Consolas" w:hAnsi="Consolas"/>
          <w:color w:val="1B1F24"/>
          <w:sz w:val="18"/>
          <w:szCs w:val="18"/>
        </w:rPr>
        <w:br/>
        <w:t xml:space="preserve">  "type": "OBJECT",</w:t>
      </w:r>
      <w:r>
        <w:rPr>
          <w:rFonts w:ascii="Consolas" w:cs="Consolas" w:eastAsia="Consolas" w:hAnsi="Consolas"/>
          <w:color w:val="1B1F24"/>
          <w:sz w:val="18"/>
          <w:szCs w:val="18"/>
        </w:rPr>
        <w:br/>
        <w:t xml:space="preserve">  "properties": {</w:t>
      </w:r>
      <w:r>
        <w:rPr>
          <w:rFonts w:ascii="Consolas" w:cs="Consolas" w:eastAsia="Consolas" w:hAnsi="Consolas"/>
          <w:color w:val="1B1F24"/>
          <w:sz w:val="18"/>
          <w:szCs w:val="18"/>
        </w:rPr>
        <w:br/>
        <w:t xml:space="preserve">    "reply": { "type": "STRING" },</w:t>
      </w:r>
      <w:r>
        <w:rPr>
          <w:rFonts w:ascii="Consolas" w:cs="Consolas" w:eastAsia="Consolas" w:hAnsi="Consolas"/>
          <w:color w:val="1B1F24"/>
          <w:sz w:val="18"/>
          <w:szCs w:val="18"/>
        </w:rPr>
        <w:br/>
        <w:t xml:space="preserve">    "satisfaction": { "type": "NUMBER" },</w:t>
      </w:r>
      <w:r>
        <w:rPr>
          <w:rFonts w:ascii="Consolas" w:cs="Consolas" w:eastAsia="Consolas" w:hAnsi="Consolas"/>
          <w:color w:val="1B1F24"/>
          <w:sz w:val="18"/>
          <w:szCs w:val="18"/>
        </w:rPr>
        <w:br/>
        <w:t xml:space="preserve">    "status": { "type": "STRING", "enum": ["ongoing", "resolved", "escalated"] }</w:t>
      </w:r>
      <w:r>
        <w:rPr>
          <w:rFonts w:ascii="Consolas" w:cs="Consolas" w:eastAsia="Consolas" w:hAnsi="Consolas"/>
          <w:color w:val="1B1F24"/>
          <w:sz w:val="18"/>
          <w:szCs w:val="18"/>
        </w:rPr>
        <w:br/>
        <w:t xml:space="preserve">  },</w:t>
      </w:r>
      <w:r>
        <w:rPr>
          <w:rFonts w:ascii="Consolas" w:cs="Consolas" w:eastAsia="Consolas" w:hAnsi="Consolas"/>
          <w:color w:val="1B1F24"/>
          <w:sz w:val="18"/>
          <w:szCs w:val="18"/>
        </w:rPr>
        <w:br/>
        <w:t xml:space="preserve">  "required": ["reply", "satisfaction", "status"]</w:t>
      </w:r>
      <w:r>
        <w:rPr>
          <w:rFonts w:ascii="Consolas" w:cs="Consolas" w:eastAsia="Consolas" w:hAnsi="Consolas"/>
          <w:color w:val="1B1F24"/>
          <w:sz w:val="18"/>
          <w:szCs w:val="18"/>
        </w:rPr>
        <w:br/>
        <w:t xml:space="preserve">}</w:t>
      </w:r>
    </w:p>
    <w:p>
      <w:pPr>
        <w:pStyle w:val="Heading3"/>
        <w:spacing w:after="100" w:before="220"/>
      </w:pPr>
      <w:r>
        <w:rPr>
          <w:rFonts w:ascii="Calibri" w:cs="Calibri" w:eastAsia="Calibri" w:hAnsi="Calibri"/>
          <w:b/>
          <w:bCs/>
          <w:color w:val="1B1F24"/>
          <w:sz w:val="21"/>
          <w:szCs w:val="21"/>
        </w:rPr>
        <w:t xml:space="preserve">A.2 SCORE_SCHEMA</w:t>
      </w:r>
    </w:p>
    <w:p>
      <w:pPr>
        <w:pBdr>
          <w:top w:val="single" w:color="D9DEE4" w:sz="4"/>
          <w:bottom w:val="single" w:color="D9DEE4" w:sz="4"/>
          <w:left w:val="single" w:color="D9DEE4" w:sz="4"/>
          <w:right w:val="single" w:color="D9DEE4" w:sz="4"/>
        </w:pBdr>
        <w:shd w:fill="F4F6F8" w:val="clear"/>
        <w:spacing w:after="200" w:before="100"/>
      </w:pPr>
      <w:r>
        <w:rPr>
          <w:rFonts w:ascii="Consolas" w:cs="Consolas" w:eastAsia="Consolas" w:hAnsi="Consolas"/>
          <w:color w:val="1B1F24"/>
          <w:sz w:val="18"/>
          <w:szCs w:val="18"/>
        </w:rPr>
        <w:t xml:space="preserve">{</w:t>
      </w:r>
      <w:r>
        <w:rPr>
          <w:rFonts w:ascii="Consolas" w:cs="Consolas" w:eastAsia="Consolas" w:hAnsi="Consolas"/>
          <w:color w:val="1B1F24"/>
          <w:sz w:val="18"/>
          <w:szCs w:val="18"/>
        </w:rPr>
        <w:br/>
        <w:t xml:space="preserve">  "type": "OBJECT",</w:t>
      </w:r>
      <w:r>
        <w:rPr>
          <w:rFonts w:ascii="Consolas" w:cs="Consolas" w:eastAsia="Consolas" w:hAnsi="Consolas"/>
          <w:color w:val="1B1F24"/>
          <w:sz w:val="18"/>
          <w:szCs w:val="18"/>
        </w:rPr>
        <w:br/>
        <w:t xml:space="preserve">  "properties": {</w:t>
      </w:r>
      <w:r>
        <w:rPr>
          <w:rFonts w:ascii="Consolas" w:cs="Consolas" w:eastAsia="Consolas" w:hAnsi="Consolas"/>
          <w:color w:val="1B1F24"/>
          <w:sz w:val="18"/>
          <w:szCs w:val="18"/>
        </w:rPr>
        <w:br/>
        <w:t xml:space="preserve">    "overall_score": { "type": "NUMBER" },</w:t>
      </w:r>
      <w:r>
        <w:rPr>
          <w:rFonts w:ascii="Consolas" w:cs="Consolas" w:eastAsia="Consolas" w:hAnsi="Consolas"/>
          <w:color w:val="1B1F24"/>
          <w:sz w:val="18"/>
          <w:szCs w:val="18"/>
        </w:rPr>
        <w:br/>
        <w:t xml:space="preserve">    "empathy": { "type": "NUMBER" },</w:t>
      </w:r>
      <w:r>
        <w:rPr>
          <w:rFonts w:ascii="Consolas" w:cs="Consolas" w:eastAsia="Consolas" w:hAnsi="Consolas"/>
          <w:color w:val="1B1F24"/>
          <w:sz w:val="18"/>
          <w:szCs w:val="18"/>
        </w:rPr>
        <w:br/>
        <w:t xml:space="preserve">    "technical_accuracy": { "type": "NUMBER" },</w:t>
      </w:r>
      <w:r>
        <w:rPr>
          <w:rFonts w:ascii="Consolas" w:cs="Consolas" w:eastAsia="Consolas" w:hAnsi="Consolas"/>
          <w:color w:val="1B1F24"/>
          <w:sz w:val="18"/>
          <w:szCs w:val="18"/>
        </w:rPr>
        <w:br/>
        <w:t xml:space="preserve">    "resolution": { "type": "NUMBER" },</w:t>
      </w:r>
      <w:r>
        <w:rPr>
          <w:rFonts w:ascii="Consolas" w:cs="Consolas" w:eastAsia="Consolas" w:hAnsi="Consolas"/>
          <w:color w:val="1B1F24"/>
          <w:sz w:val="18"/>
          <w:szCs w:val="18"/>
        </w:rPr>
        <w:br/>
        <w:t xml:space="preserve">    "communication": { "type": "NUMBER" },</w:t>
      </w:r>
      <w:r>
        <w:rPr>
          <w:rFonts w:ascii="Consolas" w:cs="Consolas" w:eastAsia="Consolas" w:hAnsi="Consolas"/>
          <w:color w:val="1B1F24"/>
          <w:sz w:val="18"/>
          <w:szCs w:val="18"/>
        </w:rPr>
        <w:br/>
        <w:t xml:space="preserve">    "verdict": { "type": "STRING" },</w:t>
      </w:r>
      <w:r>
        <w:rPr>
          <w:rFonts w:ascii="Consolas" w:cs="Consolas" w:eastAsia="Consolas" w:hAnsi="Consolas"/>
          <w:color w:val="1B1F24"/>
          <w:sz w:val="18"/>
          <w:szCs w:val="18"/>
        </w:rPr>
        <w:br/>
        <w:t xml:space="preserve">    "strengths": { "type": "ARRAY", "items": { "type": "STRING" } },</w:t>
      </w:r>
      <w:r>
        <w:rPr>
          <w:rFonts w:ascii="Consolas" w:cs="Consolas" w:eastAsia="Consolas" w:hAnsi="Consolas"/>
          <w:color w:val="1B1F24"/>
          <w:sz w:val="18"/>
          <w:szCs w:val="18"/>
        </w:rPr>
        <w:br/>
        <w:t xml:space="preserve">    "improvements": { "type": "ARRAY", "items": { "type": "STRING" } }</w:t>
      </w:r>
      <w:r>
        <w:rPr>
          <w:rFonts w:ascii="Consolas" w:cs="Consolas" w:eastAsia="Consolas" w:hAnsi="Consolas"/>
          <w:color w:val="1B1F24"/>
          <w:sz w:val="18"/>
          <w:szCs w:val="18"/>
        </w:rPr>
        <w:br/>
        <w:t xml:space="preserve">  },</w:t>
      </w:r>
      <w:r>
        <w:rPr>
          <w:rFonts w:ascii="Consolas" w:cs="Consolas" w:eastAsia="Consolas" w:hAnsi="Consolas"/>
          <w:color w:val="1B1F24"/>
          <w:sz w:val="18"/>
          <w:szCs w:val="18"/>
        </w:rPr>
        <w:br/>
        <w:t xml:space="preserve">  "required": ["overall_score", "empathy", "technical_accuracy", "resolution",</w:t>
      </w:r>
      <w:r>
        <w:rPr>
          <w:rFonts w:ascii="Consolas" w:cs="Consolas" w:eastAsia="Consolas" w:hAnsi="Consolas"/>
          <w:color w:val="1B1F24"/>
          <w:sz w:val="18"/>
          <w:szCs w:val="18"/>
        </w:rPr>
        <w:br/>
        <w:t xml:space="preserve">               "communication", "verdict", "strengths", "improvements"]</w:t>
      </w:r>
      <w:r>
        <w:rPr>
          <w:rFonts w:ascii="Consolas" w:cs="Consolas" w:eastAsia="Consolas" w:hAnsi="Consolas"/>
          <w:color w:val="1B1F24"/>
          <w:sz w:val="18"/>
          <w:szCs w:val="18"/>
        </w:rPr>
        <w:b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2"/>
        <w:sz w:val="16"/>
        <w:szCs w:val="16"/>
      </w:rPr>
      <w:t xml:space="preserve">Page </w:t>
    </w:r>
    <w:r>
      <w:rPr>
        <w:rFonts w:ascii="Calibri" w:cs="Calibri" w:eastAsia="Calibri" w:hAnsi="Calibri"/>
        <w:color w:val="5B6672"/>
        <w:sz w:val="16"/>
        <w:szCs w:val="16"/>
      </w:rPr>
      <w:fldChar w:fldCharType="begin"/>
      <w:instrText xml:space="preserve">PAGE</w:instrText>
      <w:fldChar w:fldCharType="separate"/>
      <w:fldChar w:fldCharType="end"/>
    </w:r>
    <w:r>
      <w:rPr>
        <w:rFonts w:ascii="Calibri" w:cs="Calibri" w:eastAsia="Calibri" w:hAnsi="Calibri"/>
        <w:color w:val="5B6672"/>
        <w:sz w:val="16"/>
        <w:szCs w:val="16"/>
      </w:rPr>
      <w:t xml:space="preserve"> of </w:t>
    </w:r>
    <w:r>
      <w:rPr>
        <w:rFonts w:ascii="Calibri" w:cs="Calibri" w:eastAsia="Calibri" w:hAnsi="Calibri"/>
        <w:color w:val="5B66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4" w:sz="4" w:space="4"/>
      </w:pBdr>
      <w:jc w:val="right"/>
    </w:pPr>
    <w:r>
      <w:rPr>
        <w:rFonts w:ascii="Calibri" w:cs="Calibri" w:eastAsia="Calibri" w:hAnsi="Calibri"/>
        <w:color w:val="5B6672"/>
        <w:sz w:val="16"/>
        <w:szCs w:val="16"/>
      </w:rPr>
      <w:t xml:space="preserve">Service Desk Trainer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40"/>
      </w:pPr>
    </w:lvl>
    <w:lvl w:ilvl="1" w15:tentative="1">
      <w:start w:val="1"/>
      <w:numFmt w:val="bullet"/>
      <w:lvlText w:val="–"/>
      <w:lvlJc w:val="left"/>
      <w:pPr>
        <w:ind w:left="760" w:hanging="24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abstractNum w:abstractNumId="5"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F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2026-09-10T08:29:20.013Z</dcterms:created>
  <dcterms:modified xsi:type="dcterms:W3CDTF">2026-09-10T08:29:20.013Z</dcterms:modified>
</cp:coreProperties>
</file>

<file path=docProps/custom.xml><?xml version="1.0" encoding="utf-8"?>
<Properties xmlns="http://schemas.openxmlformats.org/officeDocument/2006/custom-properties" xmlns:vt="http://schemas.openxmlformats.org/officeDocument/2006/docPropsVTypes"/>
</file>