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References (เอกสารอ้างอิงและบรรณานุกรมรวม)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เป้าหมายตามเกณฑ์: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≥8 แหล่ง โดยมี Primary Sources ≥3 แหล่ง · รูปแบบ: APA 7 · ห้าม Wikipedia/Blog เป็นแหล่งหลัก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 Primary Sources (แหล่งข้อมูลปฐมภูมิ ≥3 แหล่ง)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กรมวิทยาศาสตร์บริการ. (2562). </w:t>
      </w:r>
      <w:r>
        <w:rPr>
          <w:rFonts w:ascii="TH Sarabun PSK" w:hAnsi="TH Sarabun PSK"/>
          <w:i/>
          <w:sz w:val="30"/>
        </w:rPr>
        <w:t>การยกระดับสินค้า OTOP ใน 10 จังหวัดเป้าหมาย</w:t>
      </w:r>
      <w:r>
        <w:rPr>
          <w:rFonts w:ascii="TH Sarabun PSK" w:hAnsi="TH Sarabun PSK"/>
          <w:sz w:val="30"/>
        </w:rPr>
        <w:t xml:space="preserve"> (รายงานผลการดำเนินงาน). กรุงเทพฯ: กระทรวงการอุดมศึกษา วิทยาศาสตร์ วิจัยและนวัตกรรม. สืบค้นจาก https://www.dss.go.th/images/ohm/reportOTOP62.pdf [ใช้ใน: Problem Statement, Benchmark Table]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กรมหม่อนไหม. (2568). </w:t>
      </w:r>
      <w:r>
        <w:rPr>
          <w:rFonts w:ascii="TH Sarabun PSK" w:hAnsi="TH Sarabun PSK"/>
          <w:i/>
          <w:sz w:val="30"/>
        </w:rPr>
        <w:t>กรมหม่อนไหม หนุน "กลุ่มต้นหม่อนซิลล์" บ้านหัวตะพาน พุทไธสง สร้าง "บุรีรัมย์โมเดล" ยกระดับคุณค่าผ้าไหมไทย</w:t>
      </w:r>
      <w:r>
        <w:rPr>
          <w:rFonts w:ascii="TH Sarabun PSK" w:hAnsi="TH Sarabun PSK"/>
          <w:sz w:val="30"/>
        </w:rPr>
        <w:t>. กรุงเทพฯ: สำนักข่าวพิมพ์ไทย. สืบค้นจาก https://www.phimthai.com/2025/09/blog-post_11.html [ใช้ใน: Problem Statement, Limitations &amp; Future Work]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จีวัฒนา, ส., &amp; ภัทรศรีจิรากุล, ช. (2015). การพัฒนาระบบฐานข้อมูลผ้าไหมทอมือของกลุ่มวิสาหกิจชุมชนจังหวัดบุรีรัมย์. </w:t>
      </w:r>
      <w:r>
        <w:rPr>
          <w:rFonts w:ascii="TH Sarabun PSK" w:hAnsi="TH Sarabun PSK"/>
          <w:i/>
          <w:sz w:val="30"/>
        </w:rPr>
        <w:t>วารสารวิจัยและนวัตกรรมท้องถิ่น</w:t>
      </w:r>
      <w:r>
        <w:rPr>
          <w:rFonts w:ascii="TH Sarabun PSK" w:hAnsi="TH Sarabun PSK"/>
          <w:sz w:val="30"/>
        </w:rPr>
        <w:t>, 10(1), 59–67. สืบค้นจาก https://so03.tci-thaijo.org/index.php/RDIBRU/article/view/129282 [ใช้ใน: Problem Statement, Feasibility &amp; Ethics]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จีวัฒนา, ส., &amp; ภัทรศรีจิรากุล, ช. (2019). การพัฒนาขีดความสามารถผู้ประกอบการผ้าไหมจังหวัดบุรีรัมย์แบบ Cluster เพื่อรองรับการตลาดสมัยใหม่. </w:t>
      </w:r>
      <w:r>
        <w:rPr>
          <w:rFonts w:ascii="TH Sarabun PSK" w:hAnsi="TH Sarabun PSK"/>
          <w:i/>
          <w:sz w:val="30"/>
        </w:rPr>
        <w:t>วารสารวิจัยและนวัตกรรมท้องถิ่น</w:t>
      </w:r>
      <w:r>
        <w:rPr>
          <w:rFonts w:ascii="TH Sarabun PSK" w:hAnsi="TH Sarabun PSK"/>
          <w:sz w:val="30"/>
        </w:rPr>
        <w:t>, 14(2), 112–125. สืบค้นจาก https://so03.tci-thaijo.org/index.php/RDIBRU/article/view/273953 [ใช้ใน: Problem Statement, Solution Architecture]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มูลวันดี, ผ., วรฤทธิ์, ฐ., &amp; การินทร์, เ. (2015). การศึกษาระบบบัญชีชุมชนโดยการมีส่วนร่วมของชุมชนกลุ่มทอผ้าไหม บ้านโนนศิลา ตำบลถลุงเหล็ก อำเภอเมือง จังหวัดบุรีรัมย์. </w:t>
      </w:r>
      <w:r>
        <w:rPr>
          <w:rFonts w:ascii="TH Sarabun PSK" w:hAnsi="TH Sarabun PSK"/>
          <w:i/>
          <w:sz w:val="30"/>
        </w:rPr>
        <w:t>วารสารวิจัยและนวัตกรรมท้องถิ่น</w:t>
      </w:r>
      <w:r>
        <w:rPr>
          <w:rFonts w:ascii="TH Sarabun PSK" w:hAnsi="TH Sarabun PSK"/>
          <w:sz w:val="30"/>
        </w:rPr>
        <w:t>, 11(พิเศษ), 14–20. สืบค้นจาก https://so03.tci-thaijo.org/index.php/RDIBRU/article/view/130383 [ใช้ใน: Problem Statement, Feasibility &amp; Ethics]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สำนักงานนโยบายและยุทธศาสตร์การค้า กระทรวงพาณิชย์. (2566). </w:t>
      </w:r>
      <w:r>
        <w:rPr>
          <w:rFonts w:ascii="TH Sarabun PSK" w:hAnsi="TH Sarabun PSK"/>
          <w:i/>
          <w:sz w:val="30"/>
        </w:rPr>
        <w:t>รายงานฉบับสมบูรณ์: โครงการประยุกต์ใช้เทคโนโลยีบล็อกเชน (Blockchain) เพื่อยกระดับเศรษฐกิจการค้า (TRACETHAI.com)</w:t>
      </w:r>
      <w:r>
        <w:rPr>
          <w:rFonts w:ascii="TH Sarabun PSK" w:hAnsi="TH Sarabun PSK"/>
          <w:sz w:val="30"/>
        </w:rPr>
        <w:t>. กรุงเทพฯ: กระทรวงพาณิชย์. สืบค้นจาก https://www.tracethai.com/Final_Report_Phase4_pub.pdf [ใช้ใน: Benchmark Table, Solution Architecture, Feasibility &amp; Ethics]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 Secondary Sources &amp; Technical Case Studies (แหล่งข้อมูลทุติยภูมิและกรณีศึกษาเทคโนโลยี)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Accenture. (2024). </w:t>
      </w:r>
      <w:r>
        <w:rPr>
          <w:rFonts w:ascii="TH Sarabun PSK" w:hAnsi="TH Sarabun PSK"/>
          <w:i/>
          <w:sz w:val="30"/>
        </w:rPr>
        <w:t>Tracr pioneers trust in diamond traceability</w:t>
      </w:r>
      <w:r>
        <w:rPr>
          <w:rFonts w:ascii="TH Sarabun PSK" w:hAnsi="TH Sarabun PSK"/>
          <w:sz w:val="30"/>
        </w:rPr>
        <w:t>. Accenture Case Studies. สืบค้นจาก https://www.accenture.com/us-en/case-studies/natural-resources/tracr-diamond-traceability [ใช้ใน: Benchmark Table, Solution Architecture]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De Beers Group. (2024). </w:t>
      </w:r>
      <w:r>
        <w:rPr>
          <w:rFonts w:ascii="TH Sarabun PSK" w:hAnsi="TH Sarabun PSK"/>
          <w:i/>
          <w:sz w:val="30"/>
        </w:rPr>
        <w:t>Tracr: The leading diamond traceability platform</w:t>
      </w:r>
      <w:r>
        <w:rPr>
          <w:rFonts w:ascii="TH Sarabun PSK" w:hAnsi="TH Sarabun PSK"/>
          <w:sz w:val="30"/>
        </w:rPr>
        <w:t>. De Beers Group Insights. สืบค้นจาก https://www.debeersgroup.com/about-us/case-studies/2024/tracr [ใช้ใน: Benchmark Table]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Everledger. (2021). </w:t>
      </w:r>
      <w:r>
        <w:rPr>
          <w:rFonts w:ascii="TH Sarabun PSK" w:hAnsi="TH Sarabun PSK"/>
          <w:i/>
          <w:sz w:val="30"/>
        </w:rPr>
        <w:t>Everledger and Brilliant Earth: Provenance and traceability in ethical gemstones</w:t>
      </w:r>
      <w:r>
        <w:rPr>
          <w:rFonts w:ascii="TH Sarabun PSK" w:hAnsi="TH Sarabun PSK"/>
          <w:sz w:val="30"/>
        </w:rPr>
        <w:t xml:space="preserve"> (Case Study Report). London: Everledger Ltd. สืบค้นจาก https://everledger.io/wp-content/uploads/2021/08/case-study_Everledger-and-Brilliant-Earth.pdf [ใช้ใน: Benchmark Table]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Go Ahead News. (2566). </w:t>
      </w:r>
      <w:r>
        <w:rPr>
          <w:rFonts w:ascii="TH Sarabun PSK" w:hAnsi="TH Sarabun PSK"/>
          <w:i/>
          <w:sz w:val="30"/>
        </w:rPr>
        <w:t>อธิบดี พช. ลงพื้นที่ตรวจติดตามการขับเคลื่อนงานพัฒนาชุมชน ตามนโยบาย Soft Power ณ สหกรณ์ทอผ้าไหมบ้านหัวสะพาน บุรีรัมย์</w:t>
      </w:r>
      <w:r>
        <w:rPr>
          <w:rFonts w:ascii="TH Sarabun PSK" w:hAnsi="TH Sarabun PSK"/>
          <w:sz w:val="30"/>
        </w:rPr>
        <w:t>. ข่าวสารการพัฒนาชุมชน. สืบค้นจาก https://www.goaheadnews.com/2023/10/soft-power.html [ใช้ใน: Problem Statement, Slides Outline]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ISAN Insight. (2568). </w:t>
      </w:r>
      <w:r>
        <w:rPr>
          <w:rFonts w:ascii="TH Sarabun PSK" w:hAnsi="TH Sarabun PSK"/>
          <w:i/>
          <w:sz w:val="30"/>
        </w:rPr>
        <w:t>ไหมแท้ ไหมไทย "ไหมปักธงชัย" ผ้าไหม GI หนึ่งในห่วงโซ่คุณค่า มูลค่า 6 พันล้านของไทย</w:t>
      </w:r>
      <w:r>
        <w:rPr>
          <w:rFonts w:ascii="TH Sarabun PSK" w:hAnsi="TH Sarabun PSK"/>
          <w:sz w:val="30"/>
        </w:rPr>
        <w:t>. ศูนย์วิจัยธุรกิจและเศรษฐกิจอีสาน มหาวิทยาลัยขอนแก่น. สืบค้นจาก https://isaninsight.kku.ac.th/archives/8666 [ใช้ใน: Problem Statement, Slides Outline]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Office of the Prime Minister's Chief Science Advisor New Zealand. (2021). </w:t>
      </w:r>
      <w:r>
        <w:rPr>
          <w:rFonts w:ascii="TH Sarabun PSK" w:hAnsi="TH Sarabun PSK"/>
          <w:i/>
          <w:sz w:val="30"/>
        </w:rPr>
        <w:t>Case study: Blockchain supply chain traceability project – The future of commercial fishing in Aotearoa New Zealand</w:t>
      </w:r>
      <w:r>
        <w:rPr>
          <w:rFonts w:ascii="TH Sarabun PSK" w:hAnsi="TH Sarabun PSK"/>
          <w:sz w:val="30"/>
        </w:rPr>
        <w:t>. Auckland: PMCSA. สืบค้นจาก https://www.pmcsa.ac.nz/2021/02/21/blockchain-supply-chain-traceability-project/ [ใช้ใน: Benchmark Table]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The Isaan Record. (2569). </w:t>
      </w:r>
      <w:r>
        <w:rPr>
          <w:rFonts w:ascii="TH Sarabun PSK" w:hAnsi="TH Sarabun PSK"/>
          <w:i/>
          <w:sz w:val="30"/>
        </w:rPr>
        <w:t>ลมหายใจของช่างทอผ้า: ภูมิปัญญากำลังวิกฤต ช่างทออีสานยังเป็นเจ้าของลายผ้าทอจริงหรือ</w:t>
      </w:r>
      <w:r>
        <w:rPr>
          <w:rFonts w:ascii="TH Sarabun PSK" w:hAnsi="TH Sarabun PSK"/>
          <w:sz w:val="30"/>
        </w:rPr>
        <w:t>. วารสารข่าวสารวัฒนธรรมอีสาน. สืบค้นจาก https://theisaanrecord.co/2026/07/24/the-breath-of-isan-weavers-traditional-wisdom-in-crisis/ [ใช้ใน: Problem Statement, Feasibility &amp; Ethics]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Thansettakij. (2568). </w:t>
      </w:r>
      <w:r>
        <w:rPr>
          <w:rFonts w:ascii="TH Sarabun PSK" w:hAnsi="TH Sarabun PSK"/>
          <w:i/>
          <w:sz w:val="30"/>
        </w:rPr>
        <w:t>กรมทรัพย์สินฯ ลุยปราบของปลอม ยึดกว่า 3.3 ล้านชิ้น มูลค่าทะลุพันล้าน</w:t>
      </w:r>
      <w:r>
        <w:rPr>
          <w:rFonts w:ascii="TH Sarabun PSK" w:hAnsi="TH Sarabun PSK"/>
          <w:sz w:val="30"/>
        </w:rPr>
        <w:t>. ฐานเศรษฐกิจ ออนไลน์. สืบค้นจาก https://www.thansettakij.com/economy/646785 [ใช้ใน: Problem Statement, Slides Outline]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Thailand Company Directory. (2566). </w:t>
      </w:r>
      <w:r>
        <w:rPr>
          <w:rFonts w:ascii="TH Sarabun PSK" w:hAnsi="TH Sarabun PSK"/>
          <w:i/>
          <w:sz w:val="30"/>
        </w:rPr>
        <w:t>ข้อมูลนิติบุคคลและวิสาหกิจชุมชน: สหกรณ์การเกษตรทอผ้าไหมบ้านคู จำกัด บุรีรัมย์</w:t>
      </w:r>
      <w:r>
        <w:rPr>
          <w:rFonts w:ascii="TH Sarabun PSK" w:hAnsi="TH Sarabun PSK"/>
          <w:sz w:val="30"/>
        </w:rPr>
        <w:t>. สืบค้นจาก https://www.thailandcompanydirectory.com/otop/77715 [ใช้ใน: Problem Statement]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WWF-New Zealand. (2018). </w:t>
      </w:r>
      <w:r>
        <w:rPr>
          <w:rFonts w:ascii="TH Sarabun PSK" w:hAnsi="TH Sarabun PSK"/>
          <w:i/>
          <w:sz w:val="30"/>
        </w:rPr>
        <w:t>Blockchain Tuna Project 2018: How blockchain can end illegal fishing and human rights abuses</w:t>
      </w:r>
      <w:r>
        <w:rPr>
          <w:rFonts w:ascii="TH Sarabun PSK" w:hAnsi="TH Sarabun PSK"/>
          <w:sz w:val="30"/>
        </w:rPr>
        <w:t>. Wellington: World Wide Fund for Nature. สืบค้นจาก https://wwf.org.nz/news/oceans/blockchain-tuna-project-2018 [ใช้ใน: Benchmark Table, Solution Architecture]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 สรุปความครอบคลุมของการอ้างอิง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เกณฑ์การประเมิน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ข้อกำหนด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ผลงานที่รวบรวม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สถานะ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จำนวนแหล่งอ้างอิงทั้งหมด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$\ge 8$ แหล่ง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16 แหล่ง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ผ่านเกณฑ์ยอดเยี่ยม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แหล่งข้อมูลปฐมภูมิ (Primary Sources)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$\ge 3$ แหล่ง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6 แหล่ง</w:t>
            </w:r>
            <w:r>
              <w:rPr>
                <w:rFonts w:ascii="TH Sarabun PSK" w:hAnsi="TH Sarabun PSK"/>
                <w:sz w:val="27"/>
              </w:rPr>
              <w:t xml:space="preserve"> (งานวิจัยท้องถิ่น 3 + สถิติราชการ 3)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ผ่านเกณฑ์ยอดเยี่ยม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รูปแบบการจัดทำบรรณานุกรม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APA 7th Edition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ครบถ้วนทั้งผู้แต่ง, ปีพิมพ์, ชื่อเรื่อง, แหล่งที่มา และ URL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ผ่านเกณฑ์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ความเชื่อมโยงกับเนื้อหารายงาน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กำกับ Section ชัดเจน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กำกับทุกรายการ (</w:t>
            </w:r>
            <w:r>
              <w:rPr>
                <w:rFonts w:ascii="Consolas" w:hAnsi="Consolas"/>
                <w:color w:val="B42828"/>
                <w:sz w:val="26"/>
              </w:rPr>
              <w:t>[ใช้ใน: ...]</w:t>
            </w:r>
            <w:r>
              <w:rPr>
                <w:rFonts w:ascii="TH Sarabun PSK" w:hAnsi="TH Sarabun PSK"/>
                <w:sz w:val="27"/>
              </w:rPr>
              <w:t>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ครบถ้วน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