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4D8A19"/>
          <w:sz w:val="18"/>
          <w:spacing w:val="60"/>
        </w:rPr>
        <w:t>POLITIKA OVĚŘOVÁNÍ PODPISU</w:t>
      </w:r>
    </w:p>
    <w:p>
      <w:pPr>
        <w:spacing w:after="0"/>
      </w:pPr>
      <w:r>
        <w:rPr>
          <w:color w:val="4D8A19"/>
          <w:sz w:val="80"/>
        </w:rPr>
        <w:t>AnEP</w:t>
      </w:r>
    </w:p>
    <w:p>
      <w:pPr>
        <w:pBdr>
          <w:bottom w:val="single" w:sz="12" w:space="8" w:color="4D8A19"/>
        </w:pBdr>
        <w:spacing w:after="200"/>
      </w:pPr>
      <w:r>
        <w:rPr>
          <w:color w:val="5A6355"/>
          <w:sz w:val="30"/>
        </w:rPr>
        <w:t>Politika ověřování elektronických podpisů AnEP</w:t>
      </w:r>
    </w:p>
    <w:p>
      <w:pPr>
        <w:spacing w:after="280"/>
      </w:pPr>
      <w:r>
        <w:rPr>
          <w:sz w:val="24"/>
        </w:rPr>
        <w:t>Analyzátor elektronických podpisů (AnEP) — politika ověřování podpisu</w:t>
      </w:r>
    </w:p>
    <w:p>
      <w:pPr>
        <w:spacing w:after="480"/>
      </w:pPr>
      <w:r>
        <w:rPr>
          <w:color w:val="5A6355"/>
          <w:sz w:val="18"/>
          <w:highlight w:val="yellow"/>
        </w:rPr>
        <w:t>Verze 1.9</w:t>
      </w:r>
      <w:r>
        <w:rPr>
          <w:color w:val="5A6355"/>
          <w:sz w:val="18"/>
        </w:rPr>
        <w:t xml:space="preserve"> · stav ke dni 17. 10. 2026 · AnEP 1.0.0, knihovna DSS 6.5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1 Úvod</w:t>
      </w:r>
    </w:p>
    <w:p>
      <w:pPr>
        <w:pStyle w:val="Heading2"/>
      </w:pPr>
      <w:r>
        <w:t>1.1 K čemu tento dokument je</w:t>
      </w:r>
    </w:p>
    <w:p>
      <w:r>
        <w:t>Kvalifikované služby ověřování platnosti podpisů zveřejňují svou politiku ověřování — dokument, který říká, podle jakých pravidel o platnosti podpisu rozhodují. Dva různé ověřovatelé mohou o témž podpisu dojít k různým závěrům, a bez takového dokumentu nelze poznat, zda se jeden z nich mýlí, nebo zda jen každý uplatňuje jiné pravidlo.</w:t>
      </w:r>
    </w:p>
    <w:p>
      <w:r>
        <w:t>AnEP není služba vytvářející důvěru a jeho výsledek nemá právní účinky výsledku kvalifikované služby. Právě proto ale má říct otevřeně, jak ověřuje: čtenář, který dostane od AnEP jiný závěr než od jiného nástroje, má mít možnost dohledat, v čem se postupy liší.</w:t>
      </w:r>
    </w:p>
    <w:p>
      <w:r>
        <w:t>Dokument je stavěný jako politika ověřování podpisu ve smyslu ETSI TS 119 172-1 — popisuje postup ověřování krok po kroku podle ETSI EN 319 102-1 a vyjmenovává, kde se AnEP od výchozího nastavení knihovny DSS odchyluje. Nepopisuje provoz, personál ani odpovědnost poskytovatele; to jsou náležitosti politiky služby (ETSI TS 119 441), a ty u aplikace provozované uživatelem na vlastním počítači nemají předmět.</w:t>
      </w:r>
    </w:p>
    <w:p>
      <w:pPr>
        <w:pStyle w:val="Heading2"/>
      </w:pPr>
      <w:r>
        <w:t>1.2 AnEP v kostce</w:t>
      </w:r>
    </w:p>
    <w:p>
      <w:pPr>
        <w:pStyle w:val="ListBullet"/>
      </w:pPr>
      <w:r>
        <w:t xml:space="preserve">Ověřuje </w:t>
      </w:r>
      <w:r>
        <w:rPr>
          <w:b/>
        </w:rPr>
        <w:t>lokálně</w:t>
      </w:r>
      <w:r>
        <w:t>. Dokument ani jeho otisk nikam neodcházejí; po síti se stahují jen důvěryhodné seznamy, revokační informace (OCSP, CRL) a chybějící certifikáty vydavatelů.</w:t>
      </w:r>
    </w:p>
    <w:p>
      <w:pPr>
        <w:pStyle w:val="ListBullet"/>
      </w:pPr>
      <w:r>
        <w:t xml:space="preserve">Ověřuje </w:t>
      </w:r>
      <w:r>
        <w:rPr>
          <w:b/>
        </w:rPr>
        <w:t>podle ETSI EN 319 102-1</w:t>
      </w:r>
      <w:r>
        <w:t xml:space="preserve"> prostřednictvím knihovny DSS Evropské komise (verze 6.5), vždy až po úroveň dlouhodobého ověření s archivními daty.</w:t>
      </w:r>
    </w:p>
    <w:p>
      <w:pPr>
        <w:pStyle w:val="ListBullet"/>
      </w:pPr>
      <w:r>
        <w:t xml:space="preserve">Důvěru odvozuje z </w:t>
      </w:r>
      <w:r>
        <w:rPr>
          <w:b/>
        </w:rPr>
        <w:t>evropských důvěryhodných seznamů</w:t>
      </w:r>
      <w:r>
        <w:t xml:space="preserve"> (LOTL a národní seznamy) a z </w:t>
      </w:r>
      <w:r>
        <w:rPr>
          <w:b/>
        </w:rPr>
        <w:t>vlastního úložiště certifikátů</w:t>
      </w:r>
      <w:r>
        <w:t>, které spravuje uživatel.</w:t>
      </w:r>
    </w:p>
    <w:p>
      <w:pPr>
        <w:pStyle w:val="ListBullet"/>
      </w:pPr>
      <w:r>
        <w:t xml:space="preserve">Ve dvou věcech je </w:t>
      </w:r>
      <w:r>
        <w:rPr>
          <w:b/>
        </w:rPr>
        <w:t>mírnější než výchozí politika DSS</w:t>
      </w:r>
      <w:r>
        <w:t>: nevyžaduje, aby podpis nesl deklarovaný čas podpisu (atribut signing-time), a nevyžaduje, aby tento čas ležel v době platnosti certifikátu. Obojí jen oznámí jako poznámku k výsledku.</w:t>
      </w:r>
    </w:p>
    <w:p>
      <w:pPr>
        <w:pStyle w:val="ListBullet"/>
      </w:pPr>
      <w:r>
        <w:t xml:space="preserve">Čtyři další odchylky od standardů jsou </w:t>
      </w:r>
      <w:r>
        <w:rPr>
          <w:b/>
        </w:rPr>
        <w:t>ústupky</w:t>
      </w:r>
      <w:r>
        <w:t>, které si uživatel zapíná výslovně, vždy jen pro jedno ověření, a které se ve výsledku vykazují.</w:t>
      </w:r>
    </w:p>
    <w:p>
      <w:pPr>
        <w:pStyle w:val="ListBullet"/>
      </w:pPr>
      <w:r>
        <w:t xml:space="preserve">Výsledek je jeden ze tří: </w:t>
      </w:r>
      <w:r>
        <w:rPr>
          <w:b/>
        </w:rPr>
        <w:t>platný</w:t>
      </w:r>
      <w:r>
        <w:t xml:space="preserve">, </w:t>
      </w:r>
      <w:r>
        <w:rPr>
          <w:b/>
        </w:rPr>
        <w:t>neplatný</w:t>
      </w:r>
      <w:r>
        <w:t xml:space="preserve">, nebo </w:t>
      </w:r>
      <w:r>
        <w:rPr>
          <w:b/>
        </w:rPr>
        <w:t>neznámá platnost</w:t>
      </w:r>
      <w:r>
        <w:t>. Neznámá platnost není neplatnost — znamená, že rozhodnutí nebylo možné učinit, a výsledek vždy říká proč.</w:t>
      </w:r>
    </w:p>
    <w:p>
      <w:pPr>
        <w:pStyle w:val="Heading1"/>
        <w:pBdr>
          <w:bottom w:val="single" w:sz="8" w:space="4" w:color="4D8A19"/>
        </w:pBdr>
      </w:pPr>
      <w:r>
        <w:t>2 Identifikace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1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Položka</w:t>
            </w:r>
          </w:p>
        </w:tc>
        <w:tc>
          <w:tcPr>
            <w:tcW w:type="dxa" w:w="679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Hodnota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Název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Politika ověřování elektronických podpisů AnEP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Verze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1.9</w:t>
            </w:r>
            <w:r>
              <w:rPr>
                <w:sz w:val="19"/>
              </w:rPr>
              <w:t xml:space="preserve"> ze dne 17. 10. 2026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Platí pro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AnEP 1.0.0 (repozitář signature-analyzer, stav po commitu </w:t>
            </w:r>
            <w:r>
              <w:rPr>
                <w:sz w:val="19"/>
                <w:highlight w:val="yellow"/>
              </w:rPr>
              <w:t>11f98cf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Navazující dokument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Politika uchovávání elektronických podpisů AnEP, verze </w:t>
            </w:r>
            <w:r>
              <w:rPr>
                <w:sz w:val="19"/>
                <w:highlight w:val="yellow"/>
              </w:rPr>
              <w:t>1.9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Ověřovací jádro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knihovna DSS (Digital Signature Service) 6.5 Evropské komise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Postup ověřování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ETSI EN 319 102-1 V1.4.0 (2024-03)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Struktura dokumentu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ETSI TS 119 172-1 (politika ověřování podpisu)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Kryptografická omezení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výchozí politika DSS 6.5 podle ETSI TS 119 312</w:t>
            </w:r>
          </w:p>
        </w:tc>
      </w:tr>
      <w:tr>
        <w:trPr>
          <w:cantSplit/>
        </w:trPr>
        <w:tc>
          <w:tcPr>
            <w:tcW w:type="dxa" w:w="26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Identifikátor (OID)</w:t>
            </w:r>
          </w:p>
        </w:tc>
        <w:tc>
          <w:tcPr>
            <w:tcW w:type="dxa" w:w="6797"/>
            <w:vAlign w:val="top"/>
          </w:tcPr>
          <w:p>
            <w:pPr>
              <w:spacing w:after="0"/>
            </w:pPr>
            <w:r>
              <w:rPr>
                <w:sz w:val="19"/>
              </w:rPr>
              <w:t>nepřidělen</w:t>
            </w:r>
          </w:p>
        </w:tc>
      </w:tr>
    </w:tbl>
    <w:p>
      <w:pPr>
        <w:spacing w:after="80"/>
      </w:pPr>
    </w:p>
    <w:p>
      <w:r>
        <w:t>Politika popisuje chování aplikace. Kde se aplikace změní, mění se i politika; každá verze uvádí, k jakému stavu aplikace se vztahuje. Co aplikace dělá s dokumentem, aby zůstal ověřitelný, popisuje samostatná Politika uchovávání elektronických podpisů AnEP; obě politiky se vydávají se shodným číslem verze a vztahují se k témuž stavu aplikace.</w:t>
      </w:r>
    </w:p>
    <w:p>
      <w:pPr>
        <w:pStyle w:val="Heading1"/>
        <w:pBdr>
          <w:bottom w:val="single" w:sz="8" w:space="4" w:color="4D8A19"/>
        </w:pBdr>
      </w:pPr>
      <w:r>
        <w:t>3 Model ověřování a vstupy</w:t>
      </w:r>
    </w:p>
    <w:p>
      <w:pPr>
        <w:pStyle w:val="Heading2"/>
      </w:pPr>
      <w:r>
        <w:t>3.1 Model</w:t>
      </w:r>
    </w:p>
    <w:p>
      <w:r>
        <w:t>EN 319 102-1 dělí ověřování na řídicí aplikaci (Driving Application, DA), která připraví vstupy a vyloží výsledek, a ověřovací aplikaci (Signature Validation Application, SVA), která podle politiky rozhodne. V AnEP je řídicí aplikací AnEP sám, ověřovací aplikací knihovna DSS s politikou podle této kapitoly a kapitoly 6. Celý dokument zpracovává SVA — AnEP nepracuje v rozděleném modelu, kdy se ověřovateli posílá jen otisk.</w:t>
      </w:r>
    </w:p>
    <w:p>
      <w:pPr>
        <w:pStyle w:val="Heading2"/>
      </w:pPr>
      <w:r>
        <w:t>3.2 Vstupy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1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Vstup</w:t>
            </w:r>
          </w:p>
        </w:tc>
        <w:tc>
          <w:tcPr>
            <w:tcW w:type="dxa" w:w="719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Popis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Podepsaný objekt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dokument s vloženým podpisem (PDF, kontejner ASiC, CMS/PKCS#7 s obsahem, XML, JSON)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Externí podpis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samostatný soubor podpisu (.p7s, .xml, …) předložený vedle podepsaného obsahu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záznam podle RFC 4998 nebo RFC 6283 předložený vedle dokumentu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Čas ověření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aktuální čas, nebo okamžik zadaný uživatelem (viz 11.3)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Heslo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heslo k PDF, které jej bez hesla neotevře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Kotvy důvěry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důvěryhodné seznamy EU a vlastní úložiště certifikátů (kapitola 5)</w:t>
            </w:r>
          </w:p>
        </w:tc>
      </w:tr>
      <w:tr>
        <w:trPr>
          <w:cantSplit/>
        </w:trPr>
        <w:tc>
          <w:tcPr>
            <w:tcW w:type="dxa" w:w="22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Revokační údaje</w:t>
            </w:r>
          </w:p>
        </w:tc>
        <w:tc>
          <w:tcPr>
            <w:tcW w:type="dxa" w:w="7197"/>
            <w:vAlign w:val="top"/>
          </w:tcPr>
          <w:p>
            <w:pPr>
              <w:spacing w:after="0"/>
            </w:pPr>
            <w:r>
              <w:rPr>
                <w:sz w:val="19"/>
              </w:rPr>
              <w:t>vložené v podpisu, stažené on-line, z vlastního úložiště CRL (kapitola 7)</w:t>
            </w:r>
          </w:p>
        </w:tc>
      </w:tr>
    </w:tbl>
    <w:p>
      <w:pPr>
        <w:spacing w:after="80"/>
      </w:pPr>
    </w:p>
    <w:p>
      <w:r>
        <w:t>Při ověřování externího podpisu se posuzuje jen externí podpis. Podpisy, které nese samo předložené PDF, se v tom případě neověřují; výsledek na ně upozorní.</w:t>
      </w:r>
    </w:p>
    <w:p>
      <w:pPr>
        <w:pStyle w:val="Heading1"/>
        <w:pBdr>
          <w:bottom w:val="single" w:sz="8" w:space="4" w:color="4D8A19"/>
        </w:pBdr>
      </w:pPr>
      <w:r>
        <w:t>4 Podporované formáty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9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Formát</w:t>
            </w:r>
          </w:p>
        </w:tc>
        <w:tc>
          <w:tcPr>
            <w:tcW w:type="dxa" w:w="275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Úrovně</w:t>
            </w:r>
          </w:p>
        </w:tc>
        <w:tc>
          <w:tcPr>
            <w:tcW w:type="dxa" w:w="376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Poznámka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PAdES (PDF)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B-B, B-T, B-LT, B-LTA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včetně dokumentových časových razítek a slovníku DSS/VRI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PDF-NOT-ETSI a PKCS#7 v PDF (SubFilter adbe.pkcs7.*)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podpisy bez atributů, které vyžaduje PAdES; ověří se s ústupkem (11.2), jinak vyjdou s neznámou platností pro nesoulad formátu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adbe.x509.rsa_sha1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DSS je nezpracuje; podpisovou hodnotu ověří AnEP sám, certifikát přes DSS se stejnými kotvami a revokačními zdroji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CAdES, CMS, PKCS#7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B-B až B-LTA, starší úrovně (BES, T, C, X, XL, A)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včetně datových zpráv ISDS (.zfo)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XAdES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B-B až B-LTA, starší úrovně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JAdES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B-B až B-LTA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ASiC-S, ASiC-E (CAdES i XAdES)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B-B až B-LTA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včetně samostatných časových razítek a evidenčních záznamů uvnitř kontejneru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OpenDocument (ODF)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podle vloženého XAdES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ověřuje se jako kontejner ASiC s XAdES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Office Open XML (DOCX, XLSX, PPTX)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neověřuje se</w:t>
            </w:r>
            <w:r>
              <w:rPr>
                <w:sz w:val="19"/>
              </w:rPr>
              <w:t>; AnEP jen přečte, co v podpisu stojí. DSS nezná transformaci, kterou OOXML ke krytí obsahu potřebuje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Samostatné časové razítko (RFC 3161)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ověří se jako samostatný prvek</w:t>
            </w:r>
          </w:p>
        </w:tc>
      </w:tr>
      <w:tr>
        <w:trPr>
          <w:cantSplit/>
        </w:trPr>
        <w:tc>
          <w:tcPr>
            <w:tcW w:type="dxa" w:w="289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 (RFC 4998, RFC 6283)</w:t>
            </w:r>
          </w:p>
        </w:tc>
        <w:tc>
          <w:tcPr>
            <w:tcW w:type="dxa" w:w="2751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764"/>
            <w:vAlign w:val="top"/>
          </w:tcPr>
          <w:p>
            <w:pPr>
              <w:spacing w:after="0"/>
            </w:pPr>
            <w:r>
              <w:rPr>
                <w:sz w:val="19"/>
              </w:rPr>
              <w:t>jako doklad existence dat; viz 8.4</w:t>
            </w:r>
          </w:p>
        </w:tc>
      </w:tr>
    </w:tbl>
    <w:p>
      <w:pPr>
        <w:spacing w:after="80"/>
      </w:pPr>
    </w:p>
    <w:p>
      <w:r>
        <w:t xml:space="preserve">PDF, jehož hlavička </w:t>
      </w:r>
      <w:r>
        <w:rPr>
          <w:rFonts w:ascii="Consolas" w:hAnsi="Consolas"/>
          <w:sz w:val="19"/>
        </w:rPr>
        <w:t>%PDF-</w:t>
      </w:r>
      <w:r>
        <w:t xml:space="preserve"> nezačíná na prvním bajtu, ale do prvního kilobajtu, se ověří od hlavičky; bajty před ní nekryje žádný podpis a výsledek je uvede.</w:t>
      </w:r>
    </w:p>
    <w:p>
      <w:pPr>
        <w:pStyle w:val="Heading1"/>
        <w:pBdr>
          <w:bottom w:val="single" w:sz="8" w:space="4" w:color="4D8A19"/>
        </w:pBdr>
      </w:pPr>
      <w:r>
        <w:t>5 Kotvy důvěry</w:t>
      </w:r>
    </w:p>
    <w:p>
      <w:pPr>
        <w:pStyle w:val="Heading2"/>
      </w:pPr>
      <w:r>
        <w:t>5.1 Důvěryhodné seznamy EU</w:t>
      </w:r>
    </w:p>
    <w:p>
      <w:r>
        <w:t xml:space="preserve">Výchozím zdrojem důvěry je seznam důvěryhodných seznamů Evropské komise (LOTL, </w:t>
      </w:r>
      <w:r>
        <w:rPr>
          <w:rFonts w:ascii="Consolas" w:hAnsi="Consolas"/>
          <w:sz w:val="19"/>
        </w:rPr>
        <w:t>https://ec.europa.eu/tools/lotl/eu-lotl.xml</w:t>
      </w:r>
      <w:r>
        <w:t>) a národní důvěryhodné seznamy, na které odkazuje. Podpisový certifikát seznamu LOTL se bere z jeho vlastního obsahu (pivoty LOTL jsou podporované).</w:t>
      </w:r>
    </w:p>
    <w:p>
      <w:pPr>
        <w:pStyle w:val="ListBullet"/>
      </w:pPr>
      <w:r>
        <w:t>Seznamy se ukládají do mezipaměti a aplikace z ní startuje; kontrola nových verzí na síti probíhá na pozadí při spuštění aplikace, u každého národního seznamu nejvýše jednou za 12 hodin, a kdykoli na pokyn uživatele. Přerušená kontrola (zavřením aplikace) při dalším spuštění naváže u seznamů, které ještě ověřeny nebyly. Údaj o době ověření se po dokončení kontroly či obnovy na pozadí hned překreslí.</w:t>
      </w:r>
    </w:p>
    <w:p>
      <w:pPr>
        <w:pStyle w:val="ListBullet"/>
      </w:pPr>
      <w:r>
        <w:t>Kotvou je certifikát služby uvedené v seznamu. Doba, po kterou kotva platí, končí tam, kde seznam službě ukončil kladný stav (tzv. sunset). Za kladný stav se považují i služby uznané na národní úrovni (</w:t>
      </w:r>
      <w:r>
        <w:rPr>
          <w:rFonts w:ascii="Consolas" w:hAnsi="Consolas"/>
          <w:sz w:val="19"/>
        </w:rPr>
        <w:t>recognisedatnationallevel</w:t>
      </w:r>
      <w:r>
        <w:t xml:space="preserve">, </w:t>
      </w:r>
      <w:r>
        <w:rPr>
          <w:rFonts w:ascii="Consolas" w:hAnsi="Consolas"/>
          <w:sz w:val="19"/>
        </w:rPr>
        <w:t>setbynationallaw</w:t>
      </w:r>
      <w:r>
        <w:t>).</w:t>
      </w:r>
    </w:p>
    <w:p>
      <w:pPr>
        <w:pStyle w:val="ListBullet"/>
      </w:pPr>
      <w:r>
        <w:t>Kvalifikovanost certifikátu, podpisu a časového razítka určuje DSS podle údajů seznamu (typ služby, stav, kvalifikátory) k rozhodnému okamžiku.</w:t>
      </w:r>
    </w:p>
    <w:p>
      <w:pPr>
        <w:pStyle w:val="ListBullet"/>
      </w:pPr>
      <w:r>
        <w:t>Je-li síť nedostupná, ověřuje se z mezipaměti; aplikace uvádí, kdy své kopie seznamů naposledy ověřila u zdroje, a na vyžádání i naposledy vydaný národní seznam (zemi, pořadové číslo a datum vydání).</w:t>
      </w:r>
    </w:p>
    <w:p>
      <w:pPr>
        <w:pStyle w:val="ListBullet"/>
      </w:pPr>
      <w:r>
        <w:t>U každého podpisu, pečeti a časového razítka aplikace uvádí, podle kterého národního seznamu se jeho certifikát posuzoval: zemi, pořadové číslo seznamu a datum jeho vydání. Tím je doloženo, z jakého stavu seznamu závěr vychází.</w:t>
      </w:r>
    </w:p>
    <w:p>
      <w:pPr>
        <w:pStyle w:val="Heading2"/>
      </w:pPr>
      <w:r>
        <w:t>5.2 Vlastní úložiště certifikátů</w:t>
      </w:r>
    </w:p>
    <w:p>
      <w:r>
        <w:t>Uživatel může do vlastního úložiště vložit certifikáty, kterým má aplikace důvěřovat navíc — typicky kořen interní nebo komerční certifikační autority. Úložiště se čte při každém ověření znovu, změna platí okamžitě. Podpis, jehož řetěz vede k takové kotvě, výsledek označí jako ověřený vůči vlastní kotvě.</w:t>
      </w:r>
    </w:p>
    <w:p>
      <w:r>
        <w:t xml:space="preserve">Certifikáty tuzemských komerčních autorit má AnEP přibalené jako </w:t>
      </w:r>
      <w:r>
        <w:rPr>
          <w:b/>
        </w:rPr>
        <w:t>doplňkový materiál</w:t>
      </w:r>
      <w:r>
        <w:t xml:space="preserve"> pro sestavení řetězu, ne jako kotvy: důvěru k nim zakládá teprve vložení do vlastního úložiště.</w:t>
      </w:r>
    </w:p>
    <w:p>
      <w:pPr>
        <w:pStyle w:val="Heading2"/>
      </w:pPr>
      <w:r>
        <w:t>5.3 Zvláštní případy kotev</w:t>
      </w:r>
    </w:p>
    <w:p>
      <w:pPr>
        <w:pStyle w:val="ListBullet"/>
      </w:pPr>
      <w:r>
        <w:t>Je-li kotvou sám podpisový certifikát (seznam jej vede jako identitu služby), neposuzuje se jeho doba platnosti ani revokace; platí, dokud je služba v kladném stavu.</w:t>
      </w:r>
    </w:p>
    <w:p>
      <w:pPr>
        <w:pStyle w:val="ListBullet"/>
      </w:pPr>
      <w:r>
        <w:t>Kotvou bývá i koncový certifikát časového razítka (TSU). Pro posouzení se bere identita služby, ne první certifikát řetězu.</w:t>
      </w:r>
    </w:p>
    <w:p>
      <w:pPr>
        <w:pStyle w:val="Heading1"/>
        <w:pBdr>
          <w:bottom w:val="single" w:sz="8" w:space="4" w:color="4D8A19"/>
        </w:pBdr>
      </w:pPr>
      <w:r>
        <w:t>6 Základní stavební bloky</w:t>
      </w:r>
    </w:p>
    <w:p>
      <w:r>
        <w:t xml:space="preserve">Ověřování probíhá podle EN 319 102-1, kap. 5.2 a 5.3, s politikou, kterou tvoří výchozí politika DSS 6.5 s úpravami podle tabulky níže. Úpravy uvedené jako </w:t>
      </w:r>
      <w:r>
        <w:rPr>
          <w:b/>
        </w:rPr>
        <w:t>trvalé</w:t>
      </w:r>
      <w:r>
        <w:t xml:space="preserve"> platí vždy; </w:t>
      </w:r>
      <w:r>
        <w:rPr>
          <w:b/>
        </w:rPr>
        <w:t>ústupky</w:t>
      </w:r>
      <w:r>
        <w:t xml:space="preserve"> jen tehdy, když si je uživatel zapne (kapitola 11).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5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Stavební blok (EN 319 102-1)</w:t>
            </w:r>
          </w:p>
        </w:tc>
        <w:tc>
          <w:tcPr>
            <w:tcW w:type="dxa" w:w="352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Realizace v AnEP</w:t>
            </w:r>
          </w:p>
        </w:tc>
        <w:tc>
          <w:tcPr>
            <w:tcW w:type="dxa" w:w="352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Odchylka od výchozí politiky DSS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Kontrola formátu (5.2.2)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ústupek: PDF-NOT-ETSI (11.2)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Identifikace podpisového certifikátu (5.2.3)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DSS; certifikát z podpisu, doplňkové certifikáty z AIA a přibaleného materiálu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žádná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Inicializace validačního kontextu (5.2.4)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DSS; kotvy podle kapitoly 5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žádná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Kontrola čerstvosti revokačních dat (5.2.5)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neprovádí se (výchozí stav DSS)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žádná; viz 7.4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Ověření certifikátu X.509 (5.2.6)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DSS; řetěz ke kotvě v modelu skořápky (6.2), revokace (kapitola 7)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ústupky: revokační údaje po expiraci, vydavatel revokace mimo platnost (11.2)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Kryptografické ověření (5.2.7)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DSS; u adbe.x509.rsa_sha1 AnEP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žádná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Ověření akceptace podpisu (5.2.8)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DSS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trvalé:</w:t>
            </w:r>
            <w:r>
              <w:rPr>
                <w:sz w:val="19"/>
              </w:rPr>
              <w:t xml:space="preserve"> deklarovaný čas (signing-time) se nevyžaduje; shoda deklarovaného času s platností certifikátu se nevyžaduje (6.1). Ústupky: SHA-1, PDF-NOT-ETSI</w:t>
            </w:r>
          </w:p>
        </w:tc>
      </w:tr>
      <w:tr>
        <w:trPr>
          <w:cantSplit/>
        </w:trPr>
        <w:tc>
          <w:tcPr>
            <w:tcW w:type="dxa" w:w="235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Prezentace výsledku (5.2.9)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AnEP (kapitola 12)</w:t>
            </w:r>
          </w:p>
        </w:tc>
        <w:tc>
          <w:tcPr>
            <w:tcW w:type="dxa" w:w="3529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>6.1 Deklarovaný čas podpisu</w:t>
      </w:r>
    </w:p>
    <w:p>
      <w:r>
        <w:t xml:space="preserve">Výchozí politika DSS požaduje, aby podpis nesl podepsaný atribut signing-time (u PAdES se za něj počítá i údaj </w:t>
      </w:r>
      <w:r>
        <w:rPr>
          <w:rFonts w:ascii="Consolas" w:hAnsi="Consolas"/>
          <w:sz w:val="19"/>
        </w:rPr>
        <w:t>/M</w:t>
      </w:r>
      <w:r>
        <w:t xml:space="preserve"> ve slovníku podpisu) a aby tento čas ležel v době platnosti podpisového certifikátu. AnEP oba požadavky trvale snižuje na varování:</w:t>
      </w:r>
    </w:p>
    <w:p>
      <w:pPr>
        <w:pStyle w:val="ListBullet"/>
      </w:pPr>
      <w:r>
        <w:t>Deklarovaný čas pochází z hodin počítače podepisujícího a nic nedokládá. O době vzniku podpisu rozhoduje časové razítko nebo jiný důkaz existence (kapitola 8).</w:t>
      </w:r>
    </w:p>
    <w:p>
      <w:pPr>
        <w:pStyle w:val="ListBullet"/>
      </w:pPr>
      <w:r>
        <w:t>EN 319 102-1 deklarovaný čas potřebuje jen pro kontrolu zpoždění razítka (time-stamp delay, 5.5.3 krok 5), kterou výchozí politika DSS sama neprovádí.</w:t>
      </w:r>
    </w:p>
    <w:p>
      <w:pPr>
        <w:pStyle w:val="ListBullet"/>
      </w:pPr>
      <w:r>
        <w:t>Kvalifikovaná služba NCA/I.CA QVerify deklarovaný čas podle své politiky ověřování nezpracovává vůbec.</w:t>
      </w:r>
    </w:p>
    <w:p>
      <w:r>
        <w:t>Chybí-li atribut, je-li zapsán v podobě, kterou knihovna nepřečte (GeneralizedTime místo UTCTime, které RFC 5652 předepisuje pro roky 1950–2049), nebo leží-li deklarovaný čas mimo platnost certifikátu, výsledek to uvede jako poznámku: ověřovatelé postavení na výchozím nastavení DSS mohou takový podpis odmítnout.</w:t>
      </w:r>
    </w:p>
    <w:p>
      <w:pPr>
        <w:pStyle w:val="Heading2"/>
      </w:pPr>
      <w:r>
        <w:t>6.2 Model ověření řetězu certifikátů</w:t>
      </w:r>
    </w:p>
    <w:p>
      <w:r>
        <w:t xml:space="preserve">Řetěz certifikátů se ověřuje v </w:t>
      </w:r>
      <w:r>
        <w:rPr>
          <w:b/>
        </w:rPr>
        <w:t>modelu skořápky</w:t>
      </w:r>
      <w:r>
        <w:t xml:space="preserve"> (shell model). Je to model výchozí politiky DSS 6.5 (</w:t>
      </w:r>
      <w:r>
        <w:rPr>
          <w:rFonts w:ascii="Consolas" w:hAnsi="Consolas"/>
          <w:sz w:val="19"/>
        </w:rPr>
        <w:t>&lt;Model Value="SHELL"/&gt;</w:t>
      </w:r>
      <w:r>
        <w:t>); AnEP ho nemění a žádný ústupek ho nepřepíná. Stejně se ověřují i řetězy certifikátů TSA u časových razítek.</w:t>
      </w:r>
    </w:p>
    <w:p>
      <w:r>
        <w:t>Modely se liší tím, k jakému okamžiku musí platit certifikáty autorit nad podpisovým certifikátem. Podpisový certifikát sám musí ve všech třech platit k rozhodnému okamžiku — k času ověření, nebo, dokládá-li důkaz existence dřívější vznik podpisu, k okamžiku tohoto důkazu (8.4).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7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Model</w:t>
            </w:r>
          </w:p>
        </w:tc>
        <w:tc>
          <w:tcPr>
            <w:tcW w:type="dxa" w:w="673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Certifikáty autorit musí platit (být v době platnosti a nezneplatněné)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skořápky (shell) — AnEP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k rozhodnému okamžiku, stejně jako podpisový certifikát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řetězu (chain)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každý k okamžiku, kdy vydal certifikát pod sebou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hybridní (hybrid)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k okamžiku vydání podpisového certifikátu</w:t>
            </w:r>
          </w:p>
        </w:tc>
      </w:tr>
    </w:tbl>
    <w:p>
      <w:pPr>
        <w:spacing w:after="80"/>
      </w:pPr>
    </w:p>
    <w:p>
      <w:r>
        <w:t>Vyprší-li nebo je-li zneplatněn certifikát autority až poté, co vydala podpisový certifikát, obstojí podpis v modelu skořápky jen tehdy, když jeho vznik dokládá důkaz existence z doby, kdy certifikát autority ještě platil (časové razítko, evidenční záznam). Bez něj vede ověření k neznámé platnosti, ačkoli v modelu řetězu nebo v hybridním modelu by podpis obstál. Certifikáty autorit obvykle platí déle než certifikáty, které vydaly, a podpisový certifikát musí k rozhodnému okamžiku platit v každém modelu; modely se proto v praxi rozcházejí zřídka, hlavně při zneplatnění certifikátu autority (například po kompromitaci jejího klíče). Ověřovatelé, kteří pracují v jiném modelu, mohou v takovém případě o témž podpisu dojít k jinému závěru.</w:t>
      </w:r>
    </w:p>
    <w:p>
      <w:pPr>
        <w:pStyle w:val="Heading1"/>
        <w:pBdr>
          <w:bottom w:val="single" w:sz="8" w:space="4" w:color="4D8A19"/>
        </w:pBdr>
      </w:pPr>
      <w:r>
        <w:t>7 Revokační informace</w:t>
      </w:r>
    </w:p>
    <w:p>
      <w:pPr>
        <w:pStyle w:val="Heading2"/>
      </w:pPr>
      <w:r>
        <w:t>7.1 Zdroje a jejich pořadí</w:t>
      </w:r>
    </w:p>
    <w:p>
      <w:pPr>
        <w:pStyle w:val="ListNumber"/>
      </w:pPr>
      <w:r>
        <w:t>Revokační údaje vložené v podpisu nebo v dokumentu (slovník DSS/VRI u PDF, atributy CAdES a XAdES).</w:t>
      </w:r>
    </w:p>
    <w:p>
      <w:pPr>
        <w:pStyle w:val="ListNumber"/>
      </w:pPr>
      <w:r>
        <w:t>On-line: nejprve OCSP, potom CRL z distribučního bodu certifikátu.</w:t>
      </w:r>
    </w:p>
    <w:p>
      <w:pPr>
        <w:pStyle w:val="ListNumber"/>
      </w:pPr>
      <w:r>
        <w:t>Vlastní úložiště CRL, je-li v něm nějaký seznam — jako poslední záchrana, když on-line zdroje k danému certifikátu nic použitelného nevrátí. Z uložených seznamů se vybere ten, který stav certifikátu v době jeho platnosti dokládá nejlépe.</w:t>
      </w:r>
    </w:p>
    <w:p>
      <w:pPr>
        <w:pStyle w:val="Heading2"/>
      </w:pPr>
      <w:r>
        <w:t>7.2 Údaje vydané po expiraci certifikátu</w:t>
      </w:r>
    </w:p>
    <w:p>
      <w:r>
        <w:t>RFC 5280 (3.3) dovoluje autoritě po expiraci certifikátu záznam o jeho revokaci ze seznamu odstranit. Seznam nebo odpověď vydané po expiraci proto o certifikátu nic průkazného neříkají:</w:t>
      </w:r>
    </w:p>
    <w:p>
      <w:pPr>
        <w:pStyle w:val="ListBullet"/>
      </w:pPr>
      <w:r>
        <w:t xml:space="preserve">CRL vydaný po expiraci certifikátu, jehož rozšíření </w:t>
      </w:r>
      <w:r>
        <w:rPr>
          <w:rFonts w:ascii="Consolas" w:hAnsi="Consolas"/>
          <w:sz w:val="19"/>
        </w:rPr>
        <w:t>expiredCertsOnCRL</w:t>
      </w:r>
      <w:r>
        <w:t xml:space="preserve"> chybí nebo je pozdější než konec platnosti certifikátu, se nepoužije vůbec.</w:t>
      </w:r>
    </w:p>
    <w:p>
      <w:pPr>
        <w:pStyle w:val="ListBullet"/>
      </w:pPr>
      <w:r>
        <w:t>OCSP odpověď vydaná po expiraci certifikátu se nepoužije; jejím připuštěním je ústupek (11.2).</w:t>
      </w:r>
    </w:p>
    <w:p>
      <w:pPr>
        <w:pStyle w:val="ListBullet"/>
      </w:pPr>
      <w:r>
        <w:t xml:space="preserve">Při ověření k zadanému okamžiku v minulosti (11.3) se připustí jen takový pozdější údaj, který revokaci </w:t>
      </w:r>
      <w:r>
        <w:rPr>
          <w:b/>
        </w:rPr>
        <w:t>dokládá</w:t>
      </w:r>
      <w:r>
        <w:t>; údaj hlásící „nerevokován“ se zahodí.</w:t>
      </w:r>
    </w:p>
    <w:p>
      <w:pPr>
        <w:pStyle w:val="Heading2"/>
      </w:pPr>
      <w:r>
        <w:t>7.3 Vydavatel revokačního údaje</w:t>
      </w:r>
    </w:p>
    <w:p>
      <w:r>
        <w:t>Certifikát vydavatele revokačního údaje (respondéra OCSP nebo vydavatele CRL) musí k rozhodnému okamžiku platit. Připuštění údaje od vydavatele mimo dobu platnosti je ústupkem (11.2).</w:t>
      </w:r>
    </w:p>
    <w:p>
      <w:pPr>
        <w:pStyle w:val="Heading2"/>
      </w:pPr>
      <w:r>
        <w:t>7.4 Čerstvost</w:t>
      </w:r>
    </w:p>
    <w:p>
      <w:r>
        <w:t>Čerstvost revokačních údajů se jako samostatné kritérium neposuzuje (výchozí stav DSS). EN 319 102-1 s ní pracuje jinak než jako s propouštěcí podmínkou: zastaralý údaj posouvá kontrolní okamžik do minulosti (posun času ověření, 5.6.2.2) a vyžádá si dřívější důkaz existence.</w:t>
      </w:r>
    </w:p>
    <w:p>
      <w:pPr>
        <w:pStyle w:val="Heading2"/>
      </w:pPr>
      <w:r>
        <w:t>7.5 Který údaj rozhodl</w:t>
      </w:r>
    </w:p>
    <w:p>
      <w:r>
        <w:t>Výsledek uvádí, který revokační údaj byl k rozhodnutí využit (odkud pochází a kdy byl vydán) a které další údaje dokument nese a proč využity nebyly.</w:t>
      </w:r>
    </w:p>
    <w:p>
      <w:pPr>
        <w:pStyle w:val="Heading1"/>
        <w:pBdr>
          <w:bottom w:val="single" w:sz="8" w:space="4" w:color="4D8A19"/>
        </w:pBdr>
      </w:pPr>
      <w:r>
        <w:t>8 Časová razítka a důkaz existence</w:t>
      </w:r>
    </w:p>
    <w:p>
      <w:pPr>
        <w:pStyle w:val="Heading2"/>
      </w:pPr>
      <w:r>
        <w:t>8.1 Ověření razítka</w:t>
      </w:r>
    </w:p>
    <w:p>
      <w:r>
        <w:t>Razítko se ověřuje podle RFC 3161 a stavebního bloku 5.4 EN 319 102-1: kryptografie, otisk, certifikát TSA s řetězem ke kotvě, revokace certifikátu TSA. Neplatné razítko se do dalšího postupu nepočítá jako důkaz existence, výsledek však uvede, proč neobstálo. Má-li prvek vedle něj jiné platné razítko, které důkaz existence nést může a vzniklo ještě za platnosti podpisového certifikátu, neobstálé razítko o výsledku nerozhoduje: výsledek ho uvede jako poznámku, ne jako důvod (12.2).</w:t>
      </w:r>
    </w:p>
    <w:p>
      <w:pPr>
        <w:pStyle w:val="Heading2"/>
      </w:pPr>
      <w:r>
        <w:t>8.2 Kvalifikovanost služby a její vyřazení</w:t>
      </w:r>
    </w:p>
    <w:p>
      <w:r>
        <w:t>Kvalifikovanost razítka se posuzuje k jeho nejstaršímu důkazu existence, ne k času, který razítko samo tvrdí. Razítko služby, které důvěryhodný seznam mezitím kladný stav odňal, výsledek vykáže; o tom, zda kotva platí, rozhoduje doba důvěry certifikátu, ne jen stav služby.</w:t>
      </w:r>
    </w:p>
    <w:p>
      <w:pPr>
        <w:pStyle w:val="Heading2"/>
      </w:pPr>
      <w:r>
        <w:t>8.3 Dva režimy posuzování razítek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915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Režim</w:t>
            </w:r>
          </w:p>
        </w:tc>
        <w:tc>
          <w:tcPr>
            <w:tcW w:type="dxa" w:w="649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Popis</w:t>
            </w:r>
          </w:p>
        </w:tc>
      </w:tr>
      <w:tr>
        <w:trPr>
          <w:cantSplit/>
        </w:trPr>
        <w:tc>
          <w:tcPr>
            <w:tcW w:type="dxa" w:w="291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podle standardů (výchozí)</w:t>
            </w:r>
          </w:p>
        </w:tc>
        <w:tc>
          <w:tcPr>
            <w:tcW w:type="dxa" w:w="6496"/>
            <w:vAlign w:val="top"/>
          </w:tcPr>
          <w:p>
            <w:pPr>
              <w:spacing w:after="0"/>
            </w:pPr>
            <w:r>
              <w:rPr>
                <w:sz w:val="19"/>
              </w:rPr>
              <w:t>razítko s expirovaným certifikátem TSA se uzná, je-li jeho platnost doložena dalším razítkem nebo je-li certifikát kotvou (EN 319 102-1)</w:t>
            </w:r>
          </w:p>
        </w:tc>
      </w:tr>
      <w:tr>
        <w:trPr>
          <w:cantSplit/>
        </w:trPr>
        <w:tc>
          <w:tcPr>
            <w:tcW w:type="dxa" w:w="291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podle platnosti certifikátů</w:t>
            </w:r>
          </w:p>
        </w:tc>
        <w:tc>
          <w:tcPr>
            <w:tcW w:type="dxa" w:w="6496"/>
            <w:vAlign w:val="top"/>
          </w:tcPr>
          <w:p>
            <w:pPr>
              <w:spacing w:after="0"/>
            </w:pPr>
            <w:r>
              <w:rPr>
                <w:sz w:val="19"/>
              </w:rPr>
              <w:t>razítko se uzná, jen dokud platí certifikát TSA; odpovídá praxi některých tuzemských ověřovatelů</w:t>
            </w:r>
          </w:p>
        </w:tc>
      </w:tr>
    </w:tbl>
    <w:p>
      <w:pPr>
        <w:spacing w:after="80"/>
      </w:pPr>
    </w:p>
    <w:p>
      <w:r>
        <w:t>Druhý režim zapíná uživatel výslovně a platí jen pro jedno ověření.</w:t>
      </w:r>
    </w:p>
    <w:p>
      <w:pPr>
        <w:pStyle w:val="Heading2"/>
      </w:pPr>
      <w:r>
        <w:t>8.4 Zdroje důkazu existence</w:t>
      </w:r>
    </w:p>
    <w:p>
      <w:r>
        <w:t>Rozhodný okamžik (best-signature-time) určují v tomto pořadí důkazy, které existenci podpisu dokládají nejdříve:</w:t>
      </w:r>
    </w:p>
    <w:p>
      <w:pPr>
        <w:pStyle w:val="ListNumber"/>
      </w:pPr>
      <w:r>
        <w:t>platné podpisové časové razítko, dokumentové razítko a archivní razítka (řada razítek, kde každé další prodlužuje doklad toho předchozího);</w:t>
      </w:r>
    </w:p>
    <w:p>
      <w:pPr>
        <w:pStyle w:val="ListNumber"/>
      </w:pPr>
      <w:r>
        <w:t>evidenční záznam (RFC 4998, RFC 6283) předložený s dokumentem nebo uložený v kontejneru;</w:t>
      </w:r>
    </w:p>
    <w:p>
      <w:pPr>
        <w:pStyle w:val="ListNumber"/>
      </w:pPr>
      <w:r>
        <w:rPr>
          <w:b/>
        </w:rPr>
        <w:t>pozdější podpis s platným razítkem, který tento podpis kryje</w:t>
      </w:r>
      <w:r>
        <w:t xml:space="preserve"> (u PDF podle rozsahu bajtů). EN 319 102-1 pro to má vstup „time indication for signature existence“ předávaný řídicí aplikací (tabulka 20, krok 5.5.4); AnEP jej předá DSS a ověření zopakuje. Výsledek takto odvozený důkaz uvede výslovně, protože jiní ověřovatelé tuto úvahu obvykle nedělají.</w:t>
      </w:r>
    </w:p>
    <w:p>
      <w:r>
        <w:t>Bez jakéhokoli důkazu existence je rozhodným okamžikem čas ověření.</w:t>
      </w:r>
    </w:p>
    <w:p>
      <w:pPr>
        <w:pStyle w:val="Heading1"/>
        <w:pBdr>
          <w:bottom w:val="single" w:sz="8" w:space="4" w:color="4D8A19"/>
        </w:pBdr>
      </w:pPr>
      <w:r>
        <w:t>9 Validační procesy</w:t>
      </w:r>
    </w:p>
    <w:p>
      <w:r>
        <w:t xml:space="preserve">Ověřuje se vždy nejvyšším procesem, tedy </w:t>
      </w:r>
      <w:r>
        <w:rPr>
          <w:b/>
        </w:rPr>
        <w:t>procesem pro podpisy s archivními daty</w:t>
      </w:r>
      <w:r>
        <w:t xml:space="preserve"> (EN 319 102-1, 5.6), který v sobě obsahuje proces pro základní podpisy (5.3) i proces pro podpisy s časem a dlouhodobými validačními daty (5.5). Používají se stavební bloky ověření v minulosti (5.6.2.1, 5.6.2.4), posunu času ověření (5.6.2.2) a extrakce důkazu existence (5.6.2.3).</w:t>
      </w:r>
    </w:p>
    <w:p>
      <w:pPr>
        <w:pStyle w:val="Heading1"/>
        <w:pBdr>
          <w:bottom w:val="single" w:sz="8" w:space="4" w:color="4D8A19"/>
        </w:pBdr>
      </w:pPr>
      <w:r>
        <w:t>10 Kryptografická omezení</w:t>
      </w:r>
    </w:p>
    <w:p>
      <w:r>
        <w:t>AnEP přebírá kryptografická omezení beze změny z výchozí politiky DSS 6.5 (ETSI TS 119 312). Algoritmus se posuzuje k okamžiku, kdy je jeho použití doloženo; pozdější razítko se silnějším algoritmem může podpis se slabším algoritmem udržet.</w:t>
      </w:r>
    </w:p>
    <w:p>
      <w:r>
        <w:t>Data v tabulce jsou okamžiky, od kterých ETSI TS 119 312 algoritmus za spolehlivý nepovažuje. Co ověření udělá s algoritmem použitým po takovém datu, záleží na tom, zda datum leží před poslední aktualizací kryptografické sady ve výchozí politice DSS (1. 2. 2026), nebo za ní:</w:t>
      </w:r>
    </w:p>
    <w:p>
      <w:pPr>
        <w:pStyle w:val="ListBullet"/>
      </w:pPr>
      <w:r>
        <w:rPr>
          <w:b/>
        </w:rPr>
        <w:t>datum před aktualizací</w:t>
      </w:r>
      <w:r>
        <w:t xml:space="preserve"> je zjištěná skutečnost — algoritmus ověření </w:t>
      </w:r>
      <w:r>
        <w:rPr>
          <w:b/>
        </w:rPr>
        <w:t>zamítne</w:t>
      </w:r>
      <w:r>
        <w:t>;</w:t>
      </w:r>
    </w:p>
    <w:p>
      <w:pPr>
        <w:pStyle w:val="ListBullet"/>
      </w:pPr>
      <w:r>
        <w:rPr>
          <w:b/>
        </w:rPr>
        <w:t>datum za aktualizací</w:t>
      </w:r>
      <w:r>
        <w:t xml:space="preserve"> je odhad do budoucna — algoritmus ověření nezamítne, jen k výsledku připojí </w:t>
      </w:r>
      <w:r>
        <w:rPr>
          <w:b/>
        </w:rPr>
        <w:t>varování</w:t>
      </w:r>
      <w:r>
        <w:t>, že se algoritmus už nepovažuje za spolehlivý.</w:t>
      </w:r>
    </w:p>
    <w:p>
      <w:r>
        <w:t>Tak postupuje knihovna DSS ve výchozím nastavení a AnEP to nemění.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66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Algoritmus</w:t>
            </w:r>
          </w:p>
        </w:tc>
        <w:tc>
          <w:tcPr>
            <w:tcW w:type="dxa" w:w="423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Nespolehlivý od</w:t>
            </w:r>
          </w:p>
        </w:tc>
        <w:tc>
          <w:tcPr>
            <w:tcW w:type="dxa" w:w="150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 tomto datu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MD5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1. 8. 2004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SHA-1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8. 2012 (ústupek 11.2 jej připustí)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RIPEMD-160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1. 8. 2014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SHA-224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1. 1. 2029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varování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SHA-256, SHA-384, SHA-512, SHA3-256/384/512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bez omezení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SHA3-224, MD2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nepřipouštějí se vůbec — ETSI TS 119 312 je neuvádí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RSA, RSASSA-PSS 786–1 023 bitů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1. 8. 2010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RSA, RSASSA-PSS 1 024–1 899 bitů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1. 10. 2019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RSA, RSASSA-PSS 1 900–2 999 bitů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1. 1. 2027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varování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RSA 3 000 bitů a více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1. 1. 2035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varování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RSASSA-PSS 3 000 bitů a více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bez omezení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ECDSA pod 224 bitů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1. 8. 2012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ECDSA 224–255 bitů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1. 10. 2021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zamítnutí</w:t>
            </w:r>
          </w:p>
        </w:tc>
      </w:tr>
      <w:tr>
        <w:trPr>
          <w:cantSplit/>
        </w:trPr>
        <w:tc>
          <w:tcPr>
            <w:tcW w:type="dxa" w:w="366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ECDSA 256 bitů a více</w:t>
            </w:r>
          </w:p>
        </w:tc>
        <w:tc>
          <w:tcPr>
            <w:tcW w:type="dxa" w:w="4239"/>
            <w:vAlign w:val="top"/>
          </w:tcPr>
          <w:p>
            <w:pPr>
              <w:spacing w:after="0"/>
            </w:pPr>
            <w:r>
              <w:rPr>
                <w:sz w:val="19"/>
              </w:rPr>
              <w:t>bez omezení</w:t>
            </w:r>
          </w:p>
        </w:tc>
        <w:tc>
          <w:tcPr>
            <w:tcW w:type="dxa" w:w="1509"/>
            <w:vAlign w:val="top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r>
        <w:t>Nejvíc se to týká klíčů RSA o 2 048 bitech, nejrozšířenějších u podpisových certifikátů i u autorit časových razítek. Ověřeno 5. 10. 2026: podpis, jehož poslední časové razítko je podepsané takovým klíčem, vyjde při ověření k 1. 3. 2027 jako platný, s varováním u podpisu, u razítka i u revokačního údaje. Platnost tedy 1. 1. 2027 nekončí. Ověřovatelé, kteří uplatňují aktualizovanou kryptografickou sadu nebo vlastní, přísnější pravidla, ale mohou takový algoritmus po tomto datu odmítnout.</w:t>
      </w:r>
    </w:p>
    <w:p>
      <w:r>
        <w:t>Klíče RSA kratší než 786 bitů a ECDSA kratší než 160 bitů se nepřipouštějí vůbec. MD5 a RIPEMD-160 nespraví žádný ústupek, a stejně tak SHA3-224: ta slabá není, jen ji standardy pro elektronické podpisy neuvádějí (od 4. 10. 2026 ji AnEP hlásí jako samostatný důvod).</w:t>
      </w:r>
    </w:p>
    <w:p>
      <w:pPr>
        <w:pStyle w:val="Heading1"/>
        <w:pBdr>
          <w:bottom w:val="single" w:sz="8" w:space="4" w:color="4D8A19"/>
        </w:pBdr>
      </w:pPr>
      <w:r>
        <w:t>11 Ústupky</w:t>
      </w:r>
    </w:p>
    <w:p>
      <w:pPr>
        <w:pStyle w:val="Heading2"/>
      </w:pPr>
      <w:r>
        <w:t>11.1 Co je ústupek</w:t>
      </w:r>
    </w:p>
    <w:p>
      <w:r>
        <w:t xml:space="preserve">Ústupek je odchylka od standardů, kterou si uživatel zapne výslovně, aby zjistil, zda by podpis obstál za mírnějších podmínek. Platí vždy </w:t>
      </w:r>
      <w:r>
        <w:rPr>
          <w:b/>
        </w:rPr>
        <w:t>jen pro jedno ověření</w:t>
      </w:r>
      <w:r>
        <w:t xml:space="preserve"> — po dokončení ověření se politika vrátí do výchozího stavu. Ústupky se neukládají a nepřenášejí mezi spuštěními aplikace.</w:t>
      </w:r>
    </w:p>
    <w:p>
      <w:r>
        <w:t>U výsledku dosaženého s ústupky AnEP změří, které z nich byly pro kladný výsledek rozhodující (opakovaným ověřením bez nich), a vyjmenuje je. Výsledek s ústupkem nikdy netvrdí, že ověření proběhlo podle standardů.</w:t>
      </w:r>
    </w:p>
    <w:p>
      <w:pPr>
        <w:pStyle w:val="Heading2"/>
      </w:pPr>
      <w:r>
        <w:t>11.2 Přehled ústupků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7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Ústupek</w:t>
            </w:r>
          </w:p>
        </w:tc>
        <w:tc>
          <w:tcPr>
            <w:tcW w:type="dxa" w:w="275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připouští</w:t>
            </w:r>
          </w:p>
        </w:tc>
        <w:tc>
          <w:tcPr>
            <w:tcW w:type="dxa" w:w="358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Úprava politiky DSS</w:t>
            </w:r>
          </w:p>
        </w:tc>
      </w:tr>
      <w:tr>
        <w:trPr>
          <w:cantSplit/>
        </w:trPr>
        <w:tc>
          <w:tcPr>
            <w:tcW w:type="dxa" w:w="307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Využij i revokační informace vydané po expiraci certifikátu</w:t>
            </w:r>
          </w:p>
        </w:tc>
        <w:tc>
          <w:tcPr>
            <w:tcW w:type="dxa" w:w="2754"/>
            <w:vAlign w:val="top"/>
          </w:tcPr>
          <w:p>
            <w:pPr>
              <w:spacing w:after="0"/>
            </w:pPr>
            <w:r>
              <w:rPr>
                <w:sz w:val="19"/>
              </w:rPr>
              <w:t>OCSP či CRL vydané po skončení platnosti certifikátu</w:t>
            </w:r>
          </w:p>
        </w:tc>
        <w:tc>
          <w:tcPr>
            <w:tcW w:type="dxa" w:w="3581"/>
            <w:vAlign w:val="top"/>
          </w:tcPr>
          <w:p>
            <w:pPr>
              <w:spacing w:after="0"/>
            </w:pPr>
            <w:r>
              <w:rPr>
                <w:sz w:val="19"/>
              </w:rPr>
              <w:t>RevocationHasInformationAboutCertificate → IGNORE, AcceptableRevocationDataFound a RevocationIssuerValidAtProductionTime → WARN</w:t>
            </w:r>
          </w:p>
        </w:tc>
      </w:tr>
      <w:tr>
        <w:trPr>
          <w:cantSplit/>
        </w:trPr>
        <w:tc>
          <w:tcPr>
            <w:tcW w:type="dxa" w:w="307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Využij i revokační informace od již expirovaného vydavatele</w:t>
            </w:r>
          </w:p>
        </w:tc>
        <w:tc>
          <w:tcPr>
            <w:tcW w:type="dxa" w:w="2754"/>
            <w:vAlign w:val="top"/>
          </w:tcPr>
          <w:p>
            <w:pPr>
              <w:spacing w:after="0"/>
            </w:pPr>
            <w:r>
              <w:rPr>
                <w:sz w:val="19"/>
              </w:rPr>
              <w:t>údaj, jehož vydavatel k rozhodnému okamžiku neplatil</w:t>
            </w:r>
          </w:p>
        </w:tc>
        <w:tc>
          <w:tcPr>
            <w:tcW w:type="dxa" w:w="3581"/>
            <w:vAlign w:val="top"/>
          </w:tcPr>
          <w:p>
            <w:pPr>
              <w:spacing w:after="0"/>
            </w:pPr>
            <w:r>
              <w:rPr>
                <w:sz w:val="19"/>
              </w:rPr>
              <w:t>RevocationIssuerNotExpired → WARN</w:t>
            </w:r>
          </w:p>
        </w:tc>
      </w:tr>
      <w:tr>
        <w:trPr>
          <w:cantSplit/>
        </w:trPr>
        <w:tc>
          <w:tcPr>
            <w:tcW w:type="dxa" w:w="307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Ignorovat zastaralost algoritmu SHA-1</w:t>
            </w:r>
          </w:p>
        </w:tc>
        <w:tc>
          <w:tcPr>
            <w:tcW w:type="dxa" w:w="2754"/>
            <w:vAlign w:val="top"/>
          </w:tcPr>
          <w:p>
            <w:pPr>
              <w:spacing w:after="0"/>
            </w:pPr>
            <w:r>
              <w:rPr>
                <w:sz w:val="19"/>
              </w:rPr>
              <w:t>podpisy a certifikáty s SHA-1</w:t>
            </w:r>
          </w:p>
        </w:tc>
        <w:tc>
          <w:tcPr>
            <w:tcW w:type="dxa" w:w="3581"/>
            <w:vAlign w:val="top"/>
          </w:tcPr>
          <w:p>
            <w:pPr>
              <w:spacing w:after="0"/>
            </w:pPr>
            <w:r>
              <w:rPr>
                <w:sz w:val="19"/>
              </w:rPr>
              <w:t>datum zastarání SHA-1 posunuto na 1. 1. 2099</w:t>
            </w:r>
          </w:p>
        </w:tc>
      </w:tr>
      <w:tr>
        <w:trPr>
          <w:cantSplit/>
        </w:trPr>
        <w:tc>
          <w:tcPr>
            <w:tcW w:type="dxa" w:w="307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Ověřovat i podpisy ve formátu PDF-NOT-ETSI</w:t>
            </w:r>
          </w:p>
        </w:tc>
        <w:tc>
          <w:tcPr>
            <w:tcW w:type="dxa" w:w="2754"/>
            <w:vAlign w:val="top"/>
          </w:tcPr>
          <w:p>
            <w:pPr>
              <w:spacing w:after="0"/>
            </w:pPr>
            <w:r>
              <w:rPr>
                <w:sz w:val="19"/>
              </w:rPr>
              <w:t>podpisy PDF bez atributů vyžadovaných PAdES</w:t>
            </w:r>
          </w:p>
        </w:tc>
        <w:tc>
          <w:tcPr>
            <w:tcW w:type="dxa" w:w="3581"/>
            <w:vAlign w:val="top"/>
          </w:tcPr>
          <w:p>
            <w:pPr>
              <w:spacing w:after="0"/>
            </w:pPr>
            <w:r>
              <w:rPr>
                <w:sz w:val="19"/>
              </w:rPr>
              <w:t>MessageDigestOrSignedPropertiesPresent → WARN</w:t>
            </w:r>
          </w:p>
        </w:tc>
      </w:tr>
    </w:tbl>
    <w:p>
      <w:pPr>
        <w:spacing w:after="80"/>
      </w:pPr>
    </w:p>
    <w:p>
      <w:r>
        <w:t>Volba „Ověřování podpisů a pečetí dle standardů“ vypne nebo zapne všechny čtyři najednou. Odkaz „Ověřit s ústupky podatelny katastru“ v posouzení vkladové listiny (12.5) zapne pro jedno opakované ověření tři z nich — všechny kromě SHA-1.</w:t>
      </w:r>
    </w:p>
    <w:p>
      <w:pPr>
        <w:pStyle w:val="Heading2"/>
      </w:pPr>
      <w:r>
        <w:t>11.3 Ověření k zadanému okamžiku</w:t>
      </w:r>
    </w:p>
    <w:p>
      <w:r>
        <w:t xml:space="preserve">Uživatel může ověřit k okamžiku v minulosti. Protože revokační údaj stažený dnes je vůči tehdejšímu certifikátu vždy vydaný po jeho expiraci, uděluje si zadaný okamžik ústupek z 7.2 sám, avšak </w:t>
      </w:r>
      <w:r>
        <w:rPr>
          <w:b/>
        </w:rPr>
        <w:t>zúžený</w:t>
      </w:r>
      <w:r>
        <w:t>: propustí jen údaj, který revokaci dokládá. Výsledek vždy uvede, že platí k zadanému okamžiku, ne k dnešku.</w:t>
      </w:r>
    </w:p>
    <w:p>
      <w:pPr>
        <w:pStyle w:val="Heading1"/>
        <w:pBdr>
          <w:bottom w:val="single" w:sz="8" w:space="4" w:color="4D8A19"/>
        </w:pBdr>
      </w:pPr>
      <w:r>
        <w:t>12 Výsledek ověření</w:t>
      </w:r>
    </w:p>
    <w:p>
      <w:pPr>
        <w:pStyle w:val="Heading2"/>
      </w:pPr>
      <w:r>
        <w:t>12.1 Indikace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2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Výsledek</w:t>
            </w:r>
          </w:p>
        </w:tc>
        <w:tc>
          <w:tcPr>
            <w:tcW w:type="dxa" w:w="208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Indikace EN 319 102-1</w:t>
            </w:r>
          </w:p>
        </w:tc>
        <w:tc>
          <w:tcPr>
            <w:tcW w:type="dxa" w:w="560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Význam</w:t>
            </w:r>
          </w:p>
        </w:tc>
      </w:tr>
      <w:tr>
        <w:trPr>
          <w:cantSplit/>
        </w:trPr>
        <w:tc>
          <w:tcPr>
            <w:tcW w:type="dxa" w:w="172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Platný</w:t>
            </w:r>
          </w:p>
        </w:tc>
        <w:tc>
          <w:tcPr>
            <w:tcW w:type="dxa" w:w="2083"/>
            <w:vAlign w:val="top"/>
          </w:tcPr>
          <w:p>
            <w:pPr>
              <w:spacing w:after="0"/>
            </w:pPr>
            <w:r>
              <w:rPr>
                <w:sz w:val="19"/>
              </w:rPr>
              <w:t>TOTAL-PASSED</w:t>
            </w:r>
          </w:p>
        </w:tc>
        <w:tc>
          <w:tcPr>
            <w:tcW w:type="dxa" w:w="5604"/>
            <w:vAlign w:val="top"/>
          </w:tcPr>
          <w:p>
            <w:pPr>
              <w:spacing w:after="0"/>
            </w:pPr>
            <w:r>
              <w:rPr>
                <w:sz w:val="19"/>
              </w:rPr>
              <w:t>ověření bylo dokončeno a podpis obstál</w:t>
            </w:r>
          </w:p>
        </w:tc>
      </w:tr>
      <w:tr>
        <w:trPr>
          <w:cantSplit/>
        </w:trPr>
        <w:tc>
          <w:tcPr>
            <w:tcW w:type="dxa" w:w="172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Neplatný</w:t>
            </w:r>
          </w:p>
        </w:tc>
        <w:tc>
          <w:tcPr>
            <w:tcW w:type="dxa" w:w="2083"/>
            <w:vAlign w:val="top"/>
          </w:tcPr>
          <w:p>
            <w:pPr>
              <w:spacing w:after="0"/>
            </w:pPr>
            <w:r>
              <w:rPr>
                <w:sz w:val="19"/>
              </w:rPr>
              <w:t>TOTAL-FAILED</w:t>
            </w:r>
          </w:p>
        </w:tc>
        <w:tc>
          <w:tcPr>
            <w:tcW w:type="dxa" w:w="5604"/>
            <w:vAlign w:val="top"/>
          </w:tcPr>
          <w:p>
            <w:pPr>
              <w:spacing w:after="0"/>
            </w:pPr>
            <w:r>
              <w:rPr>
                <w:sz w:val="19"/>
              </w:rPr>
              <w:t>ověření bylo dokončeno a prokázalo vadu (porušená integrita, revokace před podpisem, …)</w:t>
            </w:r>
          </w:p>
        </w:tc>
      </w:tr>
      <w:tr>
        <w:trPr>
          <w:cantSplit/>
        </w:trPr>
        <w:tc>
          <w:tcPr>
            <w:tcW w:type="dxa" w:w="172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Neznámá platnost</w:t>
            </w:r>
          </w:p>
        </w:tc>
        <w:tc>
          <w:tcPr>
            <w:tcW w:type="dxa" w:w="2083"/>
            <w:vAlign w:val="top"/>
          </w:tcPr>
          <w:p>
            <w:pPr>
              <w:spacing w:after="0"/>
            </w:pPr>
            <w:r>
              <w:rPr>
                <w:sz w:val="19"/>
              </w:rPr>
              <w:t>INDETERMINATE</w:t>
            </w:r>
          </w:p>
        </w:tc>
        <w:tc>
          <w:tcPr>
            <w:tcW w:type="dxa" w:w="5604"/>
            <w:vAlign w:val="top"/>
          </w:tcPr>
          <w:p>
            <w:pPr>
              <w:spacing w:after="0"/>
            </w:pPr>
            <w:r>
              <w:rPr>
                <w:sz w:val="19"/>
              </w:rPr>
              <w:t>ověření nebylo možné dokončit; uvede se sub-indikace a důvody</w:t>
            </w:r>
          </w:p>
        </w:tc>
      </w:tr>
    </w:tbl>
    <w:p>
      <w:pPr>
        <w:spacing w:after="80"/>
      </w:pPr>
    </w:p>
    <w:p>
      <w:pPr>
        <w:pStyle w:val="Heading2"/>
      </w:pPr>
      <w:r>
        <w:t>12.2 Vysvětlení výsledku</w:t>
      </w:r>
    </w:p>
    <w:p>
      <w:r>
        <w:t xml:space="preserve">Výsledek se netváří jako konečný verdikt bez odůvodnění. K neplatnému a neznámému výsledku uvádí </w:t>
      </w:r>
      <w:r>
        <w:rPr>
          <w:b/>
        </w:rPr>
        <w:t>důvody</w:t>
      </w:r>
      <w:r>
        <w:t xml:space="preserve"> — číslovaná, česky formulovaná zjištění, každé s popisem problému, technickým rozvedením a radou, co může pomoci. Důvody řadí od těch, které žádný ústupek nespraví, k těm, které ústupek spraví.</w:t>
      </w:r>
    </w:p>
    <w:p>
      <w:r>
        <w:t>Důvody mají říkat, co výsledek skutečně drží. Proto se nálezy navzájem potlačují — silnější zjištění umlčí slabší, a rada, po které by se výsledek nezměnil, se nevydá. Neobstálé časové razítko se jako důvod uvede jen tehdy, když prvek nemá jiné platné razítko z doby platnosti podpisového certifikátu; jinak by zastínilo skutečnou příčinu výsledku, typicky chybějící revokační informace, u nichž ověření podle EN 319 102-1 ke zkoumání razítek vůbec nedojde.</w:t>
      </w:r>
    </w:p>
    <w:p>
      <w:r>
        <w:t xml:space="preserve">Ke každému výsledku pak uvádí </w:t>
      </w:r>
      <w:r>
        <w:rPr>
          <w:b/>
        </w:rPr>
        <w:t>průběh ověřování</w:t>
      </w:r>
      <w:r>
        <w:t xml:space="preserve"> (k jakému okamžiku se ověřovalo, o co se rozhodný okamžik opřel, který revokační údaj rozhodl) a </w:t>
      </w:r>
      <w:r>
        <w:rPr>
          <w:b/>
        </w:rPr>
        <w:t>poznámky k výsledku</w:t>
      </w:r>
      <w:r>
        <w:t xml:space="preserve"> — výhrady, které verdikt nemění, ale čtenář je potřebuje znát, například že jiní ověřovatelé mohou podpis odmítnout kvůli deklarovanému času (6.1), že kvalifikovanost razítka stojí na službě s odňatým stavem, nebo že důkaz existence byl odvozen z pozdějšího podpisu.</w:t>
      </w:r>
    </w:p>
    <w:p>
      <w:pPr>
        <w:pStyle w:val="Heading2"/>
      </w:pPr>
      <w:r>
        <w:t>12.3 Právní kvalifikace</w:t>
      </w:r>
    </w:p>
    <w:p>
      <w:r>
        <w:t>Druh podpisu se uvádí podle nařízení eIDAS (kvalifikovaný elektronický podpis, zaručený podpis založený na kvalifikovaném certifikátu, …) a podle zákona č. 297/2016 Sb. (uznávaný elektronický podpis, uznávaná elektronická pečeť).</w:t>
      </w:r>
    </w:p>
    <w:p>
      <w:r>
        <w:t xml:space="preserve">U uznávaného elektronického podpisu se uvádí, zda může mít účinky úředně ověřeného podpisu podle § 6 odst. 2 zákona č. 12/2020 Sb. Že je má, se uvádí jen tehdy, když kvalifikovaný certifikát nese zapsaný osobní doklad držitele. Doklad se čte z atributu serialNumber předmětu certifikátu podle registračních schémat ETSI EN 319 412-1 čl. 5.1.3, a to jen ze dvou: </w:t>
      </w:r>
      <w:r>
        <w:rPr>
          <w:rFonts w:ascii="Consolas" w:hAnsi="Consolas"/>
          <w:sz w:val="19"/>
        </w:rPr>
        <w:t>IDCCZ-</w:t>
      </w:r>
      <w:r>
        <w:t xml:space="preserve"> (občanský průkaz) a </w:t>
      </w:r>
      <w:r>
        <w:rPr>
          <w:rFonts w:ascii="Consolas" w:hAnsi="Consolas"/>
          <w:sz w:val="19"/>
        </w:rPr>
        <w:t>PASCZ-</w:t>
      </w:r>
      <w:r>
        <w:t xml:space="preserve"> (cestovní pas). Jiné hodnoty se uvádějí jako identifikátor držitele bez výkladu.</w:t>
      </w:r>
    </w:p>
    <w:p>
      <w:r>
        <w:t xml:space="preserve">Předmět certifikátu může nést </w:t>
      </w:r>
      <w:r>
        <w:rPr>
          <w:b/>
        </w:rPr>
        <w:t>více atributů serialNumber</w:t>
      </w:r>
      <w:r>
        <w:t xml:space="preserve"> — například číslo dokladu a vedle něj klientské číslo vydavatele. Posuzují se všechny, nikoli jen první; nese-li certifikát dokladů více, uvedou se všechny.</w:t>
      </w:r>
    </w:p>
    <w:p>
      <w:pPr>
        <w:pStyle w:val="Heading2"/>
      </w:pPr>
      <w:r>
        <w:t>12.4 Protokoly</w:t>
      </w:r>
    </w:p>
    <w:p>
      <w:r>
        <w:t>K výsledku jsou k dispozici protokoly knihovny DSS (zjednodušený, podrobný, diagnostická data, protokol podle ETSI TS 119 102-2) a protokol AnEP ve formátu PDF/A-2b. Výsledek AnEP není opatřen podpisem ani pečetí — AnEP není kvalifikovanou službou a jeho výsledek je podkladem, ne potvrzením.</w:t>
      </w:r>
    </w:p>
    <w:p>
      <w:pPr>
        <w:pStyle w:val="Heading2"/>
      </w:pPr>
      <w:r>
        <w:t>12.5 Posouzení dokumentu jako vkladové listiny</w:t>
      </w:r>
    </w:p>
    <w:p>
      <w:r>
        <w:t>V expertním módu AnEP u každého dokumentu PDF s vnitřními podpisy posoudí, zda splňuje technické požadavky ČÚZK na elektronickou vkladovou listinu: formát PDF, nejde o prostý sken, podpisy jsou platné a založené na kvalifikovaném certifikátu, certifikáty jsou v dokumentu, pravost podpisu je prokázána (IK MPSV či číslo osobního dokladu v certifikátu; zápis v registru obyvatel a úřední ověření AnEP posoudit nedokáže) a po posledním podpisu je platné kvalifikované časové razítko. Pečeti a značky se neposuzují. Výsledek zní „splňuje“, „nesplňuje“, nebo „nelze posoudit“.</w:t>
      </w:r>
    </w:p>
    <w:p>
      <w:r>
        <w:t>Posouzení platnosti podpisů vychází z informace podatelny katastru (říjen 2026): podatelna ověřuje nejprve podle standardů bez ústupků, a když podpis neobstojí, může jej ověřit ještě službou SecuSign Validation, a využít tak i její vlastní zásobu revokačních informací. Odtud plyne:</w:t>
      </w:r>
    </w:p>
    <w:p>
      <w:pPr>
        <w:pStyle w:val="ListBullet"/>
      </w:pPr>
      <w:r>
        <w:t xml:space="preserve">Podpis platný s ústupky z 11.2 </w:t>
      </w:r>
      <w:r>
        <w:rPr>
          <w:b/>
        </w:rPr>
        <w:t>kromě SHA-1</w:t>
      </w:r>
      <w:r>
        <w:t xml:space="preserve"> požadavek splňuje.</w:t>
      </w:r>
    </w:p>
    <w:p>
      <w:pPr>
        <w:pStyle w:val="ListBullet"/>
      </w:pPr>
      <w:r>
        <w:t xml:space="preserve">Podpis platný jen díky ústupku pro SHA-1 i podpis, jehož platnost je neznámá kvůli SHA-1 (důvod 15), požadavek </w:t>
      </w:r>
      <w:r>
        <w:rPr>
          <w:b/>
        </w:rPr>
        <w:t>nesplňuje</w:t>
      </w:r>
      <w:r>
        <w:t xml:space="preserve"> — podatelna SHA-1 nepřijímá.</w:t>
      </w:r>
    </w:p>
    <w:p>
      <w:pPr>
        <w:pStyle w:val="ListBullet"/>
      </w:pPr>
      <w:r>
        <w:t xml:space="preserve">Podpis </w:t>
      </w:r>
      <w:r>
        <w:rPr>
          <w:b/>
        </w:rPr>
        <w:t>neznámé platnosti</w:t>
      </w:r>
      <w:r>
        <w:t xml:space="preserve"> vede k výsledku „nelze posoudit“. Neproběhlo-li ještě ověření s ústupky podatelny, AnEP je doporučí; proběhlo-li a platnost zůstala neznámá kvůli revokačním informacím, upozorní, že podatelna může mít k dispozici vlastní zásobu revokačních informací služby, kterou využívá.</w:t>
      </w:r>
    </w:p>
    <w:p>
      <w:pPr>
        <w:pStyle w:val="ListBullet"/>
      </w:pPr>
      <w:r>
        <w:t>Podpis platný jen s ústupky, který potřebuje časové razítko a nemá žádné, jehož certifikát by ještě platil, vede k výsledku „nelze posoudit“: ověřovatel, který posuzuje razítka podle platnosti certifikátů (druhý režim v 8.3), takové razítko uznat nemusí.</w:t>
      </w:r>
    </w:p>
    <w:p>
      <w:pPr>
        <w:pStyle w:val="ListBullet"/>
      </w:pPr>
      <w:r>
        <w:t>U podpisu v nereferenčním formátu AnEP upozorní, že podatelna takové podpisy zatím přijímá, ale chystá se jejich přijímání omezit; na výsledek to vliv nemá.</w:t>
      </w:r>
    </w:p>
    <w:p>
      <w:r>
        <w:t>Posouzení je odhadem na základě výsledku ověření, ne rozhodnutím podatelny; věcný obsah dokumentu ani to, zda jej podepsali všichni účastníci, AnEP neposuzuje.</w:t>
      </w:r>
    </w:p>
    <w:p>
      <w:pPr>
        <w:pStyle w:val="Heading2"/>
      </w:pPr>
      <w:r>
        <w:t>12.6 Změny dokumentu PDF po podpisu</w:t>
      </w:r>
    </w:p>
    <w:p>
      <w:r>
        <w:t>Podpis v PDF nekryje celý soubor, nýbrž tu jeho podobu (revizi), která existovala v okamžiku podpisu. Co přibylo přírůstkovou aktualizací potom, kryté není. AnEP přebírá posouzení takových změn z výchozí politiky DSS 6.5 beze změny: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502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Změna po podpisu</w:t>
            </w:r>
          </w:p>
        </w:tc>
        <w:tc>
          <w:tcPr>
            <w:tcW w:type="dxa" w:w="186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Úroveň v politice DSS</w:t>
            </w:r>
          </w:p>
        </w:tc>
        <w:tc>
          <w:tcPr>
            <w:tcW w:type="dxa" w:w="251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Dopad na verdikt</w:t>
            </w:r>
          </w:p>
        </w:tc>
      </w:tr>
      <w:tr>
        <w:trPr>
          <w:cantSplit/>
        </w:trPr>
        <w:tc>
          <w:tcPr>
            <w:tcW w:type="dxa" w:w="50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přidání či odebrání stránky (</w:t>
            </w:r>
            <w:r>
              <w:rPr>
                <w:rFonts w:ascii="Consolas" w:hAnsi="Consolas"/>
                <w:b/>
                <w:sz w:val="17"/>
              </w:rPr>
              <w:t>PdfPageDifference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1869"/>
            <w:vAlign w:val="top"/>
          </w:tcPr>
          <w:p>
            <w:pPr>
              <w:spacing w:after="0"/>
            </w:pPr>
            <w:r>
              <w:rPr>
                <w:sz w:val="19"/>
              </w:rPr>
              <w:t>FAIL</w:t>
            </w:r>
          </w:p>
        </w:tc>
        <w:tc>
          <w:tcPr>
            <w:tcW w:type="dxa" w:w="2514"/>
            <w:vAlign w:val="top"/>
          </w:tcPr>
          <w:p>
            <w:pPr>
              <w:spacing w:after="0"/>
            </w:pPr>
            <w:r>
              <w:rPr>
                <w:sz w:val="19"/>
              </w:rPr>
              <w:t>podpis neobstojí</w:t>
            </w:r>
          </w:p>
        </w:tc>
      </w:tr>
      <w:tr>
        <w:trPr>
          <w:cantSplit/>
        </w:trPr>
        <w:tc>
          <w:tcPr>
            <w:tcW w:type="dxa" w:w="50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změna obsahu stránky (</w:t>
            </w:r>
            <w:r>
              <w:rPr>
                <w:rFonts w:ascii="Consolas" w:hAnsi="Consolas"/>
                <w:b/>
                <w:sz w:val="17"/>
              </w:rPr>
              <w:t>PdfVisualDifference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1869"/>
            <w:vAlign w:val="top"/>
          </w:tcPr>
          <w:p>
            <w:pPr>
              <w:spacing w:after="0"/>
            </w:pPr>
            <w:r>
              <w:rPr>
                <w:sz w:val="19"/>
              </w:rPr>
              <w:t>WARN</w:t>
            </w:r>
          </w:p>
        </w:tc>
        <w:tc>
          <w:tcPr>
            <w:tcW w:type="dxa" w:w="2514"/>
            <w:vAlign w:val="top"/>
          </w:tcPr>
          <w:p>
            <w:pPr>
              <w:spacing w:after="0"/>
            </w:pPr>
            <w:r>
              <w:rPr>
                <w:sz w:val="19"/>
              </w:rPr>
              <w:t>verdikt se nemění, jen varování</w:t>
            </w:r>
          </w:p>
        </w:tc>
      </w:tr>
      <w:tr>
        <w:trPr>
          <w:cantSplit/>
        </w:trPr>
        <w:tc>
          <w:tcPr>
            <w:tcW w:type="dxa" w:w="50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zásah do formulářových a podpisových polí, anotací, nedefinované změny</w:t>
            </w:r>
          </w:p>
        </w:tc>
        <w:tc>
          <w:tcPr>
            <w:tcW w:type="dxa" w:w="1869"/>
            <w:vAlign w:val="top"/>
          </w:tcPr>
          <w:p>
            <w:pPr>
              <w:spacing w:after="0"/>
            </w:pPr>
            <w:r>
              <w:rPr>
                <w:sz w:val="19"/>
              </w:rPr>
              <w:t>WARN</w:t>
            </w:r>
          </w:p>
        </w:tc>
        <w:tc>
          <w:tcPr>
            <w:tcW w:type="dxa" w:w="2514"/>
            <w:vAlign w:val="top"/>
          </w:tcPr>
          <w:p>
            <w:pPr>
              <w:spacing w:after="0"/>
            </w:pPr>
            <w:r>
              <w:rPr>
                <w:sz w:val="19"/>
              </w:rPr>
              <w:t>verdikt se nemění, jen varování</w:t>
            </w:r>
          </w:p>
        </w:tc>
      </w:tr>
    </w:tbl>
    <w:p>
      <w:pPr>
        <w:spacing w:after="80"/>
      </w:pPr>
    </w:p>
    <w:p>
      <w:r>
        <w:t>Změnu obsahu stránky — tedy to, že čtenář dnes vidí něco jiného, než co bylo podepsáno — AnEP přesto výslovně vykazuje, protože podpis platný podle verdiktu se pak týká jiné podoby dokumentu, než jakou má čtenář před sebou:</w:t>
      </w:r>
    </w:p>
    <w:p>
      <w:pPr>
        <w:pStyle w:val="ListBullet"/>
      </w:pPr>
      <w:r>
        <w:t xml:space="preserve">v </w:t>
      </w:r>
      <w:r>
        <w:rPr>
          <w:b/>
        </w:rPr>
        <w:t>Zjednodušeném přehledu</w:t>
      </w:r>
      <w:r>
        <w:t xml:space="preserve"> jedním řádkem s čísly dotčených stran;</w:t>
      </w:r>
    </w:p>
    <w:p>
      <w:pPr>
        <w:pStyle w:val="ListBullet"/>
      </w:pPr>
      <w:r>
        <w:t xml:space="preserve">v </w:t>
      </w:r>
      <w:r>
        <w:rPr>
          <w:b/>
        </w:rPr>
        <w:t>Rozšířeném přehledu</w:t>
      </w:r>
      <w:r>
        <w:t xml:space="preserve"> samostatným blokem nad kartami prvků, který uvede dotčené strany a nabídne náhled dokumentu v podobě kryté podpisem i v dnešní podobě.</w:t>
      </w:r>
    </w:p>
    <w:p>
      <w:r>
        <w:t>Jiné validátory mohou takovou změnu hodnotit jinak, například neplatností posledního podpisu nebo neznámým stavem jeho platnosti.</w:t>
      </w:r>
    </w:p>
    <w:p>
      <w:r>
        <w:t>Přibyla-li za posledním podpisem či razítkem jen validační data nebo jiné rozšíření dokumentu, obsah se nemění; AnEP to uvede v expertním módu jako informaci, že přibylé údaje nekryje žádný podpis ani razítko.</w:t>
      </w:r>
    </w:p>
    <w:p>
      <w:pPr>
        <w:pStyle w:val="Heading2"/>
      </w:pPr>
      <w:r>
        <w:t>12.7 Prohlížení podpisové struktury (Inspektor)</w:t>
      </w:r>
    </w:p>
    <w:p>
      <w:r>
        <w:t xml:space="preserve">V expertním módu nabízí AnEP v záložce Detailní rozbor </w:t>
      </w:r>
      <w:r>
        <w:rPr>
          <w:b/>
        </w:rPr>
        <w:t>Inspektor</w:t>
      </w:r>
      <w:r>
        <w:t xml:space="preserve"> — prohlížeč podpisové struktury dokumentu PDF, podpisu CAdES, kontejneru ASiC a podpisu XAdES a JAdES. Ukazuje strukturu tak, jak je v souboru uložena: podpisy a pečetě, časová razítka včetně razítek vnořených v podpisech, u PDF slovník </w:t>
      </w:r>
      <w:r>
        <w:rPr>
          <w:rFonts w:ascii="Consolas" w:hAnsi="Consolas"/>
          <w:sz w:val="19"/>
        </w:rPr>
        <w:t>/DSS</w:t>
      </w:r>
      <w:r>
        <w:t xml:space="preserve">, záznamy </w:t>
      </w:r>
      <w:r>
        <w:rPr>
          <w:rFonts w:ascii="Consolas" w:hAnsi="Consolas"/>
          <w:sz w:val="19"/>
        </w:rPr>
        <w:t>/VRI</w:t>
      </w:r>
      <w:r>
        <w:t xml:space="preserve"> a revize dokumentu s podobou </w:t>
      </w:r>
      <w:r>
        <w:rPr>
          <w:rFonts w:ascii="Consolas" w:hAnsi="Consolas"/>
          <w:sz w:val="19"/>
        </w:rPr>
        <w:t>/DSS</w:t>
      </w:r>
      <w:r>
        <w:t xml:space="preserve"> v každé z nich, u podpisů jejich atributy či vlastnosti, certifikáty, seznamy CRL a odpovědi OCSP.</w:t>
      </w:r>
    </w:p>
    <w:p>
      <w:r>
        <w:t xml:space="preserve">Inspektor čte soubor nezávisle na ověřování a o výsledku ověření </w:t>
      </w:r>
      <w:r>
        <w:rPr>
          <w:b/>
        </w:rPr>
        <w:t>nerozhoduje</w:t>
      </w:r>
      <w:r>
        <w:t xml:space="preserve"> — jeho zjištění do verdiktu, důvodů ani poznámek k výsledku nevstupují. Přepočítává jen to, co lze zjistit bez politiky ověřování:</w:t>
      </w:r>
    </w:p>
    <w:p>
      <w:pPr>
        <w:pStyle w:val="ListBullet"/>
      </w:pPr>
      <w:r>
        <w:t xml:space="preserve">otisk podepsaných dat (atribut message-digest nad rozsahem </w:t>
      </w:r>
      <w:r>
        <w:rPr>
          <w:rFonts w:ascii="Consolas" w:hAnsi="Consolas"/>
          <w:sz w:val="19"/>
        </w:rPr>
        <w:t>/ByteRange</w:t>
      </w:r>
      <w:r>
        <w:t xml:space="preserve"> či nad podepsaným souborem, odkazy podpisu XAdES, oddělená data podpisu JAdES),</w:t>
      </w:r>
    </w:p>
    <w:p>
      <w:pPr>
        <w:pStyle w:val="ListBullet"/>
      </w:pPr>
      <w:r>
        <w:t>otisk v časovém razítku podpisu a razítku obsahu,</w:t>
      </w:r>
    </w:p>
    <w:p>
      <w:pPr>
        <w:pStyle w:val="ListBullet"/>
      </w:pPr>
      <w:r>
        <w:t>otisk podpisového certifikátu uvedený v podpisu,</w:t>
      </w:r>
    </w:p>
    <w:p>
      <w:pPr>
        <w:pStyle w:val="ListBullet"/>
      </w:pPr>
      <w:r>
        <w:t xml:space="preserve">strukturní souvislosti: ke kterému podpisu patří záznam VRI, ve které revizi přibyla položka </w:t>
      </w:r>
      <w:r>
        <w:rPr>
          <w:rFonts w:ascii="Consolas" w:hAnsi="Consolas"/>
          <w:sz w:val="19"/>
        </w:rPr>
        <w:t>/DSS</w:t>
      </w:r>
      <w:r>
        <w:t>, zda rozsah podpisu končí na konci revize.</w:t>
      </w:r>
    </w:p>
    <w:p>
      <w:r>
        <w:t>Kryptografickou platnost podpisů, řetězy certifikátů ani stav revokace neposuzuje; to je věcí ověřování podle této politiky. U prvků, které se podaří spárovat s výsledkem ověření, uvádí odděleně od zjištění o souboru, jak s nimi ověřování naložilo: výsledek podpisu či razítka, roli certifikátu v řetězu a který revokační údaj rozhodl, nebyl přijat nebo nebyl použit.</w:t>
      </w:r>
    </w:p>
    <w:p>
      <w:pPr>
        <w:pStyle w:val="Heading1"/>
        <w:pBdr>
          <w:bottom w:val="single" w:sz="8" w:space="4" w:color="4D8A19"/>
        </w:pBdr>
      </w:pPr>
      <w:r>
        <w:t>13 Omezení podle ETSI TS 119 172-1</w:t>
      </w:r>
    </w:p>
    <w:p>
      <w:r>
        <w:t>Tabulka uvádí, jak AnEP naplňuje omezení podle přílohy A.4.2.1 (tabulka A.2) a přílohy C normy ETSI TS 119 172-1.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Omezení</w:t>
            </w:r>
          </w:p>
        </w:tc>
        <w:tc>
          <w:tcPr>
            <w:tcW w:type="dxa" w:w="470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Hodnota v AnEP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(m)1.1 SetOfTrustAnchors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důvěryhodné seznamy EU (LOTL a národní) a vlastní úložiště certifikátů; doba důvěry podle stavu služby (kapitola 5)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(m)1.2 CertificationPath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sestavuje se z certifikátů v podpisu a dokumentu, z AIA a z přibaleného doplňkového materiálu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(m)1.3–1.10 počáteční parametry RFC 5280 6.1.1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neuplatňují se (výchozí hodnoty)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(m)2.1 RevocationCheckingConstraints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eitherCheck — OCSP nebo CRL (kapitola 7)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(m)2.2 RevocationFreshnessConstraints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neuplatňují se (7.4)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(m)2.3 RevocationInfoOnExpiredCerts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údaj po expiraci jen s rozšířením expiredCertsOnCRL dřívějším než konec platnosti certifikátu (7.2)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(m)3 LoAOnTSPPractices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neuplatňuje se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a) EUQualifiedCertificateRequired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 — kvalifikovanost se vyhodnotí a uvede, nevyžaduje se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b) EUQualifiedCertificateSigRequired, c) EUQualifiedCertificateSealRequired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 — vyhodnotí se a uvede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d) EUSSCDRequired, g) EUQSigCDRequired, h) EUQSealCDRequired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 — vyhodnotí se a uvede</w:t>
            </w:r>
          </w:p>
        </w:tc>
      </w:tr>
      <w:tr>
        <w:trPr>
          <w:cantSplit/>
        </w:trPr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e) EUAdESigRequired, f) EUAdESealRequired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>
              <w:rPr>
                <w:sz w:val="19"/>
              </w:rPr>
              <w:t>ne — vyhodnotí se a uvede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14 Srovnání s jinými ověřovateli</w:t>
      </w:r>
    </w:p>
    <w:p>
      <w:r>
        <w:t>Pro orientaci, proč mohou různé nástroje dojít k různým závěrům. Údaje o ostatních ověřovatelích pocházejí z jejich zveřejněných politik a z pozorování, ne z jejich zdrojového kódu.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01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Pravidlo</w:t>
            </w:r>
          </w:p>
        </w:tc>
        <w:tc>
          <w:tcPr>
            <w:tcW w:type="dxa" w:w="213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AnEP</w:t>
            </w:r>
          </w:p>
        </w:tc>
        <w:tc>
          <w:tcPr>
            <w:tcW w:type="dxa" w:w="287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SecuSign Validation (Software602)</w:t>
            </w:r>
          </w:p>
        </w:tc>
        <w:tc>
          <w:tcPr>
            <w:tcW w:type="dxa" w:w="238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QVerify (I.CA, NCA)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Ověřovací jádro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DSS 6.5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vlastní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vlastní knihovny I.CA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Dostupnost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aplikace pro kohokoli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veřejná služba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jen na smlouvu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Deklarovaný čas (signing-time)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nevyžaduje, jen poznámka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čte i nestandardní zápis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nezpracovává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Deklarovaný čas mimo platnost certifikátu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nevadí, jen poznámka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neuvedeno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nezpracovává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Čerstvost revokace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neposuzuje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24hodinová ochranná lhůta volitelná, ve výchozím stavu vypnutá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podle nextUpdate; bez něj neprojde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Vlastní archiv CRL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úložiště spravované uživatelem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stahuje CRL každých 60 minut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neuvedeno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SHA-1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jen jako ústupek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přijímá bez poznámky (pozorováno)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nepřijímá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Starší a nereferenční formáty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ano (PDF-NOT-ETSI jako ústupek)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výslovně vyjmenovává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nejmenuje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ASiC a XAdES úrovně LTA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jen do LT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Podpisová politika v PAdES a CAdES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podporována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neuvedeno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odmítá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Změny PDF po podpisu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vykáže, rozdíl ve vzhledu je varování (12.6)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hlásí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po posledním podpisu jen validační data a metadata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záznamy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neuvedeno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</w:t>
            </w:r>
          </w:p>
        </w:tc>
      </w:tr>
      <w:tr>
        <w:trPr>
          <w:cantSplit/>
        </w:trPr>
        <w:tc>
          <w:tcPr>
            <w:tcW w:type="dxa" w:w="201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Ověření k zadanému okamžiku</w:t>
            </w:r>
          </w:p>
        </w:tc>
        <w:tc>
          <w:tcPr>
            <w:tcW w:type="dxa" w:w="2137"/>
            <w:vAlign w:val="top"/>
          </w:tcPr>
          <w:p>
            <w:pPr>
              <w:spacing w:after="0"/>
            </w:pPr>
            <w:r>
              <w:rPr>
                <w:sz w:val="19"/>
              </w:rPr>
              <w:t>ano (11.3)</w:t>
            </w:r>
          </w:p>
        </w:tc>
        <w:tc>
          <w:tcPr>
            <w:tcW w:type="dxa" w:w="2877"/>
            <w:vAlign w:val="top"/>
          </w:tcPr>
          <w:p>
            <w:pPr>
              <w:spacing w:after="0"/>
            </w:pPr>
            <w:r>
              <w:rPr>
                <w:sz w:val="19"/>
              </w:rPr>
              <w:t>ano, jen s volbou „ignorovat chybějící důkaz existence“</w:t>
            </w:r>
          </w:p>
        </w:tc>
        <w:tc>
          <w:tcPr>
            <w:tcW w:type="dxa" w:w="2384"/>
            <w:vAlign w:val="top"/>
          </w:tcPr>
          <w:p>
            <w:pPr>
              <w:spacing w:after="0"/>
            </w:pPr>
            <w:r>
              <w:rPr>
                <w:sz w:val="19"/>
              </w:rPr>
              <w:t>neuvedeno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15 Změny politiky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Verze</w:t>
            </w:r>
          </w:p>
        </w:tc>
        <w:tc>
          <w:tcPr>
            <w:tcW w:type="dxa" w:w="193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Datum</w:t>
            </w:r>
          </w:p>
        </w:tc>
        <w:tc>
          <w:tcPr>
            <w:tcW w:type="dxa" w:w="612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Změna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1.0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4. 10. 2026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první vydání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1.1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5. 10. 2026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oddíl 10: rozlišeno, kdy vypršení algoritmu vede k zamítnutí a kdy jen k varování; doplněn RSASSA-PSS s klíčem 3 000 bitů a více; odkaz na politiku uchovávání vydanou spolu s touto verzí a stav aplikace sjednocený s 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1.2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8. 10. 2026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oddíl 12.3: účinky úředně ověřeného podpisu a zapsaný osobní doklad; posuzují se všechny atributy serialNumber předmětu certifikátu, ne jen první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1.3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8. 10. 2026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nový oddíl 12.5: posouzení dokumentu jako vkladové listiny podle postupu podatelny katastru (ústupky kromě SHA-1, neznámá platnost vede k „nelze posoudit“); oddíl 11.2: místo tlačítka tolerantního ověření, které se už nenabízí, odkaz pro ověření s ústupky podatelny katastru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1.4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9. 10. 2026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nový oddíl 12.6: změny dokumentu PDF po podpisu — jak je posuzuje politika DSS, kde je AnEP vykazuje (Zjednodušený a Rozšířený přehled, náhled kryté i dnešní podoby) a že je jiné validátory mohou hodnotit jinak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1.5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13. 10. 2026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oddíly 8.1 a 12.2: neobstálé časové razítko se uvádí jako důvod jen tehdy, když prvek nemá jiné platné razítko z doby platnosti podpisového certifikátu; jinak jako poznámka k výsledku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1.6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13. 10. 2026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nový oddíl 12.7: Inspektor podpisové struktury v expertním módu — co ukazuje, které otisky přepočítává a že jeho zjištění do výsledku ověření nevstupují; ověřování samo se nemění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1.7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nový oddíl 6.2: řetěz certifikátů se ověřuje v modelu skořápky (shell) výchozí politiky DSS — čím se liší od modelu řetězu a hybridního modelu a kdy to mění závěr; odkaz na něj v tabulce stavebních bloků (5.2.6); ověřování samo se nemění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  <w:highlight w:val="yellow"/>
              </w:rPr>
              <w:t>1.8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beze změny obsahu; číslo verze a stav aplikace sjednocené s verzí 1.8 politiky uchovávání, která mění, jaké revokační údaje vkládá přerazítkování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  <w:highlight w:val="yellow"/>
              </w:rPr>
              <w:t>1.9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beze změny obsahu; číslo verze a stav aplikace sjednocené s verzí 1.9 politiky uchovávání, která upřesňuje, jaké revokační údaje vkládá prodloužení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color w:val="5A6355"/>
        <w:sz w:val="17"/>
      </w:rPr>
      <w:t>AnEP — politika ověřování elektronických podpisů</w:t>
    </w:r>
    <w:r>
      <w:tab/>
    </w:r>
    <w:r>
      <w:rPr>
        <w:color w:val="5A635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Rule="auto" w:line="276"/>
    </w:pPr>
    <w:rPr>
      <w:rFonts w:ascii="Segoe UI" w:hAnsi="Segoe UI" w:cs="Segoe UI" w:eastAsia="Segoe UI"/>
      <w:color w:val="1F2419"/>
      <w:sz w:val="21"/>
      <w:lang w:val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="Segoe UI" w:hAnsi="Segoe UI" w:cs="Segoe UI" w:eastAsia="Segoe UI"/>
      <w:b/>
      <w:bCs/>
      <w:color w:val="3A6A12"/>
      <w:sz w:val="34"/>
      <w:szCs w:val="28"/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egoe UI" w:hAnsi="Segoe UI" w:cs="Segoe UI" w:eastAsia="Segoe UI"/>
      <w:b/>
      <w:bCs/>
      <w:color w:val="1F2419"/>
      <w:sz w:val="25"/>
      <w:szCs w:val="26"/>
      <w:lang w:val="cs-C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Segoe UI" w:hAnsi="Segoe UI" w:cs="Segoe UI" w:eastAsia="Segoe UI"/>
      <w:b/>
      <w:bCs/>
      <w:i w:val="0"/>
      <w:color w:val="3A6A12"/>
      <w:sz w:val="21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40"/>
    </w:pPr>
    <w:rPr>
      <w:rFonts w:ascii="Segoe UI" w:hAnsi="Segoe UI" w:cs="Segoe UI" w:eastAsia="Segoe UI"/>
      <w:b w:val="0"/>
      <w:bCs/>
      <w:i w:val="0"/>
      <w:color w:val="5A6355"/>
      <w:sz w:val="17"/>
      <w:szCs w:val="18"/>
      <w:lang w:val="cs-CZ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