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spacing w:after="80"/>
      </w:pPr>
      <w:r>
        <w:rPr>
          <w:b/>
          <w:color w:val="4D8A19"/>
          <w:sz w:val="18"/>
          <w:spacing w:val="60"/>
        </w:rPr>
        <w:t>POLITIKA UCHOVÁVÁNÍ PODPISU</w:t>
      </w:r>
    </w:p>
    <w:p>
      <w:pPr>
        <w:spacing w:after="0"/>
      </w:pPr>
      <w:r>
        <w:rPr>
          <w:color w:val="4D8A19"/>
          <w:sz w:val="80"/>
        </w:rPr>
        <w:t>AnEP</w:t>
      </w:r>
    </w:p>
    <w:p>
      <w:pPr>
        <w:pBdr>
          <w:bottom w:val="single" w:sz="12" w:space="8" w:color="4D8A19"/>
        </w:pBdr>
        <w:spacing w:after="200"/>
      </w:pPr>
      <w:r>
        <w:rPr>
          <w:color w:val="5A6355"/>
          <w:sz w:val="30"/>
        </w:rPr>
        <w:t>Politika uchovávání elektronických podpisů AnEP</w:t>
      </w:r>
    </w:p>
    <w:p>
      <w:pPr>
        <w:spacing w:after="280"/>
      </w:pPr>
      <w:r>
        <w:rPr>
          <w:sz w:val="24"/>
        </w:rPr>
        <w:t>Analyzátor elektronických podpisů (AnEP) — politika uchovávání ověřitelnosti</w:t>
      </w:r>
    </w:p>
    <w:p>
      <w:pPr>
        <w:spacing w:after="480"/>
      </w:pPr>
      <w:r>
        <w:rPr>
          <w:color w:val="5A6355"/>
          <w:sz w:val="18"/>
          <w:highlight w:val="yellow"/>
        </w:rPr>
        <w:t>Verze 1.9 · stav ke dni 17. 10. 2026</w:t>
      </w:r>
      <w:r>
        <w:rPr>
          <w:color w:val="5A6355"/>
          <w:sz w:val="18"/>
        </w:rPr>
        <w:t xml:space="preserve"> · AnEP 1.0.0, knihovna DSS 6.5</w:t>
      </w:r>
    </w:p>
    <w:p>
      <w:r>
        <w:br w:type="page"/>
      </w:r>
    </w:p>
    <w:p>
      <w:pPr>
        <w:pStyle w:val="Heading1"/>
        <w:pBdr>
          <w:bottom w:val="single" w:sz="8" w:space="4" w:color="4D8A19"/>
        </w:pBdr>
      </w:pPr>
      <w:r>
        <w:t>1 Úvod</w:t>
      </w:r>
    </w:p>
    <w:p>
      <w:pPr>
        <w:pStyle w:val="Heading2"/>
      </w:pPr>
      <w:r>
        <w:t>1.1 K čemu tento dokument je</w:t>
      </w:r>
    </w:p>
    <w:p>
      <w:r>
        <w:t>Elektronický podpis jde ověřit jen po určitou dobu: certifikáty expirují, vydavatelé přestávají zveřejňovat revokační informace a algoritmy časem přestávají být považovány za spolehlivé. Uchovat ověřitelnost znamená doplnit do dokumentu, co bude pozdější ověření potřebovat, a zafixovat to časovým razítkem dřív, než to přestane jít.</w:t>
      </w:r>
    </w:p>
    <w:p>
      <w:r>
        <w:t xml:space="preserve">AnEP takový úkon nabízí, a na rozdíl od ověřování přitom </w:t>
      </w:r>
      <w:r>
        <w:rPr>
          <w:b/>
        </w:rPr>
        <w:t>dokument mění</w:t>
      </w:r>
      <w:r>
        <w:t>: výsledný soubor si s sebou ponese, co do něj úkon vložil. Proto má říct otevřeně, podle čeho rozhoduje, co nabídne, co do dokumentu vloží a co z toho slibuje. AnEP není služba vytvářející důvěru a jeho výstup nemá právní účinky výstupu kvalifikované služby uchovávání.</w:t>
      </w:r>
    </w:p>
    <w:p>
      <w:r>
        <w:t>Dokument je stavěný podle ETSI TS 119 511 (politika a bezpečnostní požadavky na služby uchovávání) a používá pojmy ETSI TS 119 512 (cíle uchování, modely ukládání, schémata). Stejně jako politika ověřování převzala strukturu ETSI TS 119 172-1 jen tam, kde má u aplikace předmět, i tento dokument vynechává provoz, personál, úložiště a odpovědnost poskytovatele: u aplikace provozované uživatelem na vlastním počítači předmět nemají.</w:t>
      </w:r>
    </w:p>
    <w:p>
      <w:r>
        <w:t xml:space="preserve">V pojmech TS 119 511 je tento dokument </w:t>
      </w:r>
      <w:r>
        <w:rPr>
          <w:b/>
        </w:rPr>
        <w:t>popisem profilů uchování</w:t>
      </w:r>
      <w:r>
        <w:t xml:space="preserve"> (6.4) a </w:t>
      </w:r>
      <w:r>
        <w:rPr>
          <w:b/>
        </w:rPr>
        <w:t>politikou důkazů o uchování</w:t>
      </w:r>
      <w:r>
        <w:t xml:space="preserve"> (4.3.4, 6.5) v jednom. Politikou služby (4.3.2) ani prohlášením o postupech (4.3.1) není, protože AnEP není poskytovatel služby, a identifikátor politiky služby uchovávání podle 4.3.2 proto nepoužívá.</w:t>
      </w:r>
    </w:p>
    <w:p>
      <w:pPr>
        <w:pStyle w:val="Heading2"/>
      </w:pPr>
      <w:r>
        <w:t>1.2 Vztah k politice ověřování</w:t>
      </w:r>
    </w:p>
    <w:p>
      <w:r>
        <w:t xml:space="preserve">Uchování stojí na výsledku ověření. Co je platné, jak se posuzují razítka a revokační údaje, které kotvy důvěry platí a co je ústupek, stanoví </w:t>
      </w:r>
      <w:r>
        <w:rPr>
          <w:b/>
        </w:rPr>
        <w:t>Politika ověřování elektronických podpisů AnEP</w:t>
      </w:r>
      <w:r>
        <w:t>; tento dokument na ni odkazuje a nic z ní neopakuje. V pojmech TS 119 511 (4.3.5, 6.6) je politika ověřování politikou ověřování podpisu, na kterou odkazují profily uchování: podle ní se validační data sbírají a ověřují.</w:t>
      </w:r>
    </w:p>
    <w:p>
      <w:r>
        <w:t xml:space="preserve">Rozdělení je věcné: politika ověřování popisuje </w:t>
      </w:r>
      <w:r>
        <w:rPr>
          <w:b/>
        </w:rPr>
        <w:t>dnešní</w:t>
      </w:r>
      <w:r>
        <w:t xml:space="preserve"> ověření, tento dokument </w:t>
      </w:r>
      <w:r>
        <w:rPr>
          <w:b/>
        </w:rPr>
        <w:t>předpověď do budoucna</w:t>
      </w:r>
      <w:r>
        <w:t xml:space="preserve"> — dokdy bude dokument ověřitelný — a </w:t>
      </w:r>
      <w:r>
        <w:rPr>
          <w:b/>
        </w:rPr>
        <w:t>zásah</w:t>
      </w:r>
      <w:r>
        <w:t xml:space="preserve"> do dokumentu. Obě politiky se vydávají se shodným číslem verze a vztahují se k témuž stavu aplikace; změna jedné znamená novou verzi obou.</w:t>
      </w:r>
    </w:p>
    <w:p>
      <w:pPr>
        <w:pStyle w:val="Heading2"/>
      </w:pPr>
      <w:r>
        <w:t>1.3 Uchovávání v AnEP v kostce</w:t>
      </w:r>
    </w:p>
    <w:p>
      <w:pPr>
        <w:pStyle w:val="ListBullet"/>
      </w:pPr>
      <w:r>
        <w:t>Úkon spouští vždy uživatel. Aplikace sama nic nehlídá, neukládá ani neopakuje; lhůtu sdělí a umí ji zapsat do kalendáře.</w:t>
      </w:r>
    </w:p>
    <w:p>
      <w:pPr>
        <w:pStyle w:val="ListBullet"/>
      </w:pPr>
      <w:r>
        <w:t>Původní soubor zůstává nedotčen, úkon vytvoří nový.</w:t>
      </w:r>
    </w:p>
    <w:p>
      <w:pPr>
        <w:pStyle w:val="ListBullet"/>
      </w:pPr>
      <w:r>
        <w:t xml:space="preserve">Úkon je jeden pro celý dokument. Nabídne se nejsilnější varianta, na kterou dosáhne aspoň jeden prvek: </w:t>
      </w:r>
      <w:r>
        <w:rPr>
          <w:b/>
        </w:rPr>
        <w:t>uchování</w:t>
      </w:r>
      <w:r>
        <w:t xml:space="preserve">, </w:t>
      </w:r>
      <w:r>
        <w:rPr>
          <w:b/>
        </w:rPr>
        <w:t>přerazítkování</w:t>
      </w:r>
      <w:r>
        <w:t xml:space="preserve">, nebo </w:t>
      </w:r>
      <w:r>
        <w:rPr>
          <w:b/>
        </w:rPr>
        <w:t>prodloužení</w:t>
      </w:r>
      <w:r>
        <w:t xml:space="preserve">. Kde zachovat ověřitelnost nejde, nabízí se </w:t>
      </w:r>
      <w:r>
        <w:rPr>
          <w:b/>
        </w:rPr>
        <w:t>forenzní balíček</w:t>
      </w:r>
      <w:r>
        <w:t>.</w:t>
      </w:r>
    </w:p>
    <w:p>
      <w:pPr>
        <w:pStyle w:val="ListBullet"/>
      </w:pPr>
      <w:r>
        <w:t>Úkon se nabídne jen tam, kde je možný a zároveň přínosný; kde ne, aplikace řekne proč.</w:t>
      </w:r>
    </w:p>
    <w:p>
      <w:pPr>
        <w:pStyle w:val="ListBullet"/>
      </w:pPr>
      <w:r>
        <w:t>Výsledný soubor se hned ověří a výsledek se porovná s tím, co aplikace před úkonem předpověděla; vznikne záznam o úkonu.</w:t>
      </w:r>
    </w:p>
    <w:p>
      <w:pPr>
        <w:pStyle w:val="Heading1"/>
        <w:pBdr>
          <w:bottom w:val="single" w:sz="8" w:space="4" w:color="4D8A19"/>
        </w:pBdr>
      </w:pPr>
      <w:r>
        <w:t>2 Identifikace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677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Položka</w:t>
            </w:r>
          </w:p>
        </w:tc>
        <w:tc>
          <w:tcPr>
            <w:tcW w:type="dxa" w:w="6734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Hodnota</w:t>
            </w:r>
          </w:p>
        </w:tc>
      </w:tr>
      <w:tr>
        <w:trPr>
          <w:cantSplit/>
        </w:trPr>
        <w:tc>
          <w:tcPr>
            <w:tcW w:type="dxa" w:w="2677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Název</w:t>
            </w:r>
          </w:p>
        </w:tc>
        <w:tc>
          <w:tcPr>
            <w:tcW w:type="dxa" w:w="6734"/>
            <w:vAlign w:val="top"/>
          </w:tcPr>
          <w:p>
            <w:pPr>
              <w:spacing w:after="0"/>
            </w:pPr>
            <w:r>
              <w:rPr>
                <w:sz w:val="19"/>
              </w:rPr>
              <w:t>Politika uchovávání elektronických podpisů AnEP</w:t>
            </w:r>
          </w:p>
        </w:tc>
      </w:tr>
      <w:tr>
        <w:trPr>
          <w:cantSplit/>
        </w:trPr>
        <w:tc>
          <w:tcPr>
            <w:tcW w:type="dxa" w:w="2677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Verze</w:t>
            </w:r>
          </w:p>
        </w:tc>
        <w:tc>
          <w:tcPr>
            <w:tcW w:type="dxa" w:w="6734"/>
            <w:vAlign w:val="top"/>
          </w:tcPr>
          <w:p>
            <w:pPr>
              <w:spacing w:after="0"/>
            </w:pPr>
            <w:r>
              <w:rPr>
                <w:sz w:val="19"/>
                <w:highlight w:val="yellow"/>
              </w:rPr>
              <w:t>1.9 ze dne 17. 10. 2026</w:t>
            </w:r>
          </w:p>
        </w:tc>
      </w:tr>
      <w:tr>
        <w:trPr>
          <w:cantSplit/>
        </w:trPr>
        <w:tc>
          <w:tcPr>
            <w:tcW w:type="dxa" w:w="2677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Platí pro</w:t>
            </w:r>
          </w:p>
        </w:tc>
        <w:tc>
          <w:tcPr>
            <w:tcW w:type="dxa" w:w="6734"/>
            <w:vAlign w:val="top"/>
          </w:tcPr>
          <w:p>
            <w:pPr>
              <w:spacing w:after="0"/>
            </w:pPr>
            <w:r>
              <w:rPr>
                <w:sz w:val="19"/>
              </w:rPr>
              <w:t xml:space="preserve">AnEP 1.0.0 (repozitář signature-analyzer, stav po commitu </w:t>
            </w:r>
            <w:r>
              <w:rPr>
                <w:sz w:val="19"/>
                <w:highlight w:val="yellow"/>
              </w:rPr>
              <w:t>11f98cf</w:t>
            </w:r>
            <w:r>
              <w:rPr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2677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Navazuje na</w:t>
            </w:r>
          </w:p>
        </w:tc>
        <w:tc>
          <w:tcPr>
            <w:tcW w:type="dxa" w:w="6734"/>
            <w:vAlign w:val="top"/>
          </w:tcPr>
          <w:p>
            <w:pPr>
              <w:spacing w:after="0"/>
            </w:pPr>
            <w:r>
              <w:rPr>
                <w:sz w:val="19"/>
              </w:rPr>
              <w:t xml:space="preserve">Politika ověřování elektronických podpisů AnEP, verze </w:t>
            </w:r>
            <w:r>
              <w:rPr>
                <w:sz w:val="19"/>
                <w:highlight w:val="yellow"/>
              </w:rPr>
              <w:t>1.9</w:t>
            </w:r>
          </w:p>
        </w:tc>
      </w:tr>
      <w:tr>
        <w:trPr>
          <w:cantSplit/>
        </w:trPr>
        <w:tc>
          <w:tcPr>
            <w:tcW w:type="dxa" w:w="2677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Struktura dokumentu</w:t>
            </w:r>
          </w:p>
        </w:tc>
        <w:tc>
          <w:tcPr>
            <w:tcW w:type="dxa" w:w="6734"/>
            <w:vAlign w:val="top"/>
          </w:tcPr>
          <w:p>
            <w:pPr>
              <w:spacing w:after="0"/>
            </w:pPr>
            <w:r>
              <w:rPr>
                <w:sz w:val="19"/>
              </w:rPr>
              <w:t>ETSI TS 119 511 V1.1.1 (2019-06)</w:t>
            </w:r>
          </w:p>
        </w:tc>
      </w:tr>
      <w:tr>
        <w:trPr>
          <w:cantSplit/>
        </w:trPr>
        <w:tc>
          <w:tcPr>
            <w:tcW w:type="dxa" w:w="2677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Pojmy a schéma uchování</w:t>
            </w:r>
          </w:p>
        </w:tc>
        <w:tc>
          <w:tcPr>
            <w:tcW w:type="dxa" w:w="6734"/>
            <w:vAlign w:val="top"/>
          </w:tcPr>
          <w:p>
            <w:pPr>
              <w:spacing w:after="0"/>
            </w:pPr>
            <w:r>
              <w:rPr>
                <w:sz w:val="19"/>
              </w:rPr>
              <w:t>ETSI TS 119 512 V1.2.1 (2023-05), schéma F.4 „pds+wos+aug“</w:t>
            </w:r>
          </w:p>
        </w:tc>
      </w:tr>
      <w:tr>
        <w:trPr>
          <w:cantSplit/>
        </w:trPr>
        <w:tc>
          <w:tcPr>
            <w:tcW w:type="dxa" w:w="2677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Cílová úroveň podpisů</w:t>
            </w:r>
          </w:p>
        </w:tc>
        <w:tc>
          <w:tcPr>
            <w:tcW w:type="dxa" w:w="6734"/>
            <w:vAlign w:val="top"/>
          </w:tcPr>
          <w:p>
            <w:pPr>
              <w:spacing w:after="0"/>
            </w:pPr>
            <w:r>
              <w:rPr>
                <w:sz w:val="19"/>
              </w:rPr>
              <w:t>B-LTA podle ETSI EN 319 142-1 (PAdES), EN 319 122-1 (CAdES), EN 319 132-1 (XAdES), TS 119 182-1 (JAdES) a EN 319 162-1 (ASiC)</w:t>
            </w:r>
          </w:p>
        </w:tc>
      </w:tr>
      <w:tr>
        <w:trPr>
          <w:cantSplit/>
        </w:trPr>
        <w:tc>
          <w:tcPr>
            <w:tcW w:type="dxa" w:w="2677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Kryptografická omezení</w:t>
            </w:r>
          </w:p>
        </w:tc>
        <w:tc>
          <w:tcPr>
            <w:tcW w:type="dxa" w:w="6734"/>
            <w:vAlign w:val="top"/>
          </w:tcPr>
          <w:p>
            <w:pPr>
              <w:spacing w:after="0"/>
            </w:pPr>
            <w:r>
              <w:rPr>
                <w:sz w:val="19"/>
              </w:rPr>
              <w:t>výchozí politika DSS 6.5 podle ETSI TS 119 312 (politika ověřování, kapitola 10)</w:t>
            </w:r>
          </w:p>
        </w:tc>
      </w:tr>
      <w:tr>
        <w:trPr>
          <w:cantSplit/>
        </w:trPr>
        <w:tc>
          <w:tcPr>
            <w:tcW w:type="dxa" w:w="2677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Identifikátor (OID)</w:t>
            </w:r>
          </w:p>
        </w:tc>
        <w:tc>
          <w:tcPr>
            <w:tcW w:type="dxa" w:w="6734"/>
            <w:vAlign w:val="top"/>
          </w:tcPr>
          <w:p>
            <w:pPr>
              <w:spacing w:after="0"/>
            </w:pPr>
            <w:r>
              <w:rPr>
                <w:sz w:val="19"/>
              </w:rPr>
              <w:t>nepřidělen</w:t>
            </w:r>
          </w:p>
        </w:tc>
      </w:tr>
    </w:tbl>
    <w:p>
      <w:pPr>
        <w:spacing w:after="80"/>
      </w:pPr>
    </w:p>
    <w:p>
      <w:r>
        <w:t>Politika popisuje chování aplikace. Kde se aplikace změní, mění se i politika; každá verze uvádí, k jakému stavu aplikace se vztahuje, a všechny verze zůstávají k dispozici.</w:t>
      </w:r>
    </w:p>
    <w:p>
      <w:pPr>
        <w:pStyle w:val="Heading1"/>
        <w:pBdr>
          <w:bottom w:val="single" w:sz="8" w:space="4" w:color="4D8A19"/>
        </w:pBdr>
      </w:pPr>
      <w:r>
        <w:t>3 Model uchovávání</w:t>
      </w:r>
    </w:p>
    <w:p>
      <w:pPr>
        <w:pStyle w:val="Heading2"/>
      </w:pPr>
      <w:r>
        <w:t>3.1 Cíle uchování</w:t>
      </w:r>
    </w:p>
    <w:p>
      <w:r>
        <w:t>TS 119 512 (4.2) rozlišuje tři cíle uchování. AnEP je naplňuje takto: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340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Cíl</w:t>
            </w:r>
          </w:p>
        </w:tc>
        <w:tc>
          <w:tcPr>
            <w:tcW w:type="dxa" w:w="4056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Význam podle normy</w:t>
            </w:r>
          </w:p>
        </w:tc>
        <w:tc>
          <w:tcPr>
            <w:tcW w:type="dxa" w:w="3016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V AnEP</w:t>
            </w:r>
          </w:p>
        </w:tc>
      </w:tr>
      <w:tr>
        <w:trPr>
          <w:cantSplit/>
        </w:trPr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PDS — uchování elektronických podpisů</w:t>
            </w:r>
          </w:p>
        </w:tc>
        <w:tc>
          <w:tcPr>
            <w:tcW w:type="dxa" w:w="4056"/>
            <w:vAlign w:val="top"/>
          </w:tcPr>
          <w:p>
            <w:pPr>
              <w:spacing w:after="0"/>
            </w:pPr>
            <w:r>
              <w:rPr>
                <w:sz w:val="19"/>
              </w:rPr>
              <w:t>dlouhodobě zachovat schopnost podpis ověřit, jeho stav platnosti a důkaz existence podepsaných dat</w:t>
            </w:r>
          </w:p>
        </w:tc>
        <w:tc>
          <w:tcPr>
            <w:tcW w:type="dxa" w:w="3016"/>
            <w:vAlign w:val="top"/>
          </w:tcPr>
          <w:p>
            <w:pPr>
              <w:spacing w:after="0"/>
            </w:pPr>
            <w:r>
              <w:rPr>
                <w:sz w:val="19"/>
              </w:rPr>
              <w:t>uchování, přerazítkování a prodloužení</w:t>
            </w:r>
          </w:p>
        </w:tc>
      </w:tr>
      <w:tr>
        <w:trPr>
          <w:cantSplit/>
        </w:trPr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PGD — uchování obecných dat</w:t>
            </w:r>
          </w:p>
        </w:tc>
        <w:tc>
          <w:tcPr>
            <w:tcW w:type="dxa" w:w="4056"/>
            <w:vAlign w:val="top"/>
          </w:tcPr>
          <w:p>
            <w:pPr>
              <w:spacing w:after="0"/>
            </w:pPr>
            <w:r>
              <w:rPr>
                <w:sz w:val="19"/>
              </w:rPr>
              <w:t>dlouhodobý důkaz existence předaných dat bez ohledu na to, zda jsou podepsaná</w:t>
            </w:r>
          </w:p>
        </w:tc>
        <w:tc>
          <w:tcPr>
            <w:tcW w:type="dxa" w:w="3016"/>
            <w:vAlign w:val="top"/>
          </w:tcPr>
          <w:p>
            <w:pPr>
              <w:spacing w:after="0"/>
            </w:pPr>
            <w:r>
              <w:rPr>
                <w:sz w:val="19"/>
              </w:rPr>
              <w:t>forenzní balíček</w:t>
            </w:r>
          </w:p>
        </w:tc>
      </w:tr>
      <w:tr>
        <w:trPr>
          <w:cantSplit/>
        </w:trPr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AUG — doplnění důkazů</w:t>
            </w:r>
          </w:p>
        </w:tc>
        <w:tc>
          <w:tcPr>
            <w:tcW w:type="dxa" w:w="4056"/>
            <w:vAlign w:val="top"/>
          </w:tcPr>
          <w:p>
            <w:pPr>
              <w:spacing w:after="0"/>
            </w:pPr>
            <w:r>
              <w:rPr>
                <w:sz w:val="19"/>
              </w:rPr>
              <w:t>doplnit důkazy o uchování, které objekt už nese</w:t>
            </w:r>
          </w:p>
        </w:tc>
        <w:tc>
          <w:tcPr>
            <w:tcW w:type="dxa" w:w="3016"/>
            <w:vAlign w:val="top"/>
          </w:tcPr>
          <w:p>
            <w:pPr>
              <w:spacing w:after="0"/>
            </w:pPr>
            <w:r>
              <w:rPr>
                <w:sz w:val="19"/>
              </w:rPr>
              <w:t>opakované uchování dokumentu, který už uchován byl</w:t>
            </w:r>
          </w:p>
        </w:tc>
      </w:tr>
    </w:tbl>
    <w:p>
      <w:pPr>
        <w:spacing w:after="80"/>
      </w:pPr>
    </w:p>
    <w:p>
      <w:pPr>
        <w:pStyle w:val="Heading2"/>
      </w:pPr>
      <w:r>
        <w:t>3.2 Model ukládání a schéma</w:t>
      </w:r>
    </w:p>
    <w:p>
      <w:r>
        <w:t xml:space="preserve">AnEP pracuje v modelu </w:t>
      </w:r>
      <w:r>
        <w:rPr>
          <w:b/>
        </w:rPr>
        <w:t>bez ukládání</w:t>
      </w:r>
      <w:r>
        <w:t xml:space="preserve"> (WOS; TS 119 511, 4.1.4; TS 119 512, 4.3.3): důkaz vzniká hned při úkonu a aplikace si nic neponechá — ani dokument, ani jeho otisk, ani důkaz. Nejbližším schématem podle TS 119 512 je </w:t>
      </w:r>
      <w:r>
        <w:rPr>
          <w:b/>
        </w:rPr>
        <w:t>F.4 — doplňování podpisu bez ukládání</w:t>
      </w:r>
      <w:r>
        <w:t xml:space="preserve"> (</w:t>
      </w:r>
      <w:r>
        <w:rPr>
          <w:rFonts w:ascii="Consolas" w:hAnsi="Consolas"/>
          <w:sz w:val="19"/>
        </w:rPr>
        <w:t>pds+wos+aug</w:t>
      </w:r>
      <w:r>
        <w:t>): důkazem o uchování je archivní časové razítko uvnitř podpisu (CAdES archive-time-stamp-v3, XAdES ArchiveTimeStamp, PAdES document-time-stamp) a ověřuje se podle normy daného formátu podpisu.</w:t>
      </w:r>
    </w:p>
    <w:p>
      <w:r>
        <w:t>Od schématu F.4 se AnEP odchyluje ve dvou bodech:</w:t>
      </w:r>
    </w:p>
    <w:p>
      <w:pPr>
        <w:pStyle w:val="ListBullet"/>
      </w:pPr>
      <w:r>
        <w:t>F.4.6 a TS 119 511 (7.14) ukládají službě sledovat sílu použitých algoritmů a důkazy sama doplňovat. AnEP nic nesleduje; opakovat úkon před koncem lhůty je na uživateli. Aplikace mu k tomu dává lhůtu (kapitola 7) a připomínku do kalendáře (9.4).</w:t>
      </w:r>
    </w:p>
    <w:p>
      <w:pPr>
        <w:pStyle w:val="ListBullet"/>
      </w:pPr>
      <w:r>
        <w:t>U odděleného podpisu má podle F.4.5 služba udržovat vazbu podpisu na podepsaná data. AnEP ji neudržuje; jen ji při úkonu vyžaduje (6.7).</w:t>
      </w:r>
    </w:p>
    <w:p>
      <w:r>
        <w:t xml:space="preserve">Poznámka k normě: TS 119 512 uvádí v F.4.1 identifikátor schématu </w:t>
      </w:r>
      <w:r>
        <w:rPr>
          <w:rFonts w:ascii="Consolas" w:hAnsi="Consolas"/>
          <w:sz w:val="19"/>
        </w:rPr>
        <w:t>pds+wos+aug</w:t>
      </w:r>
      <w:r>
        <w:t xml:space="preserve">, v F.4.7 </w:t>
      </w:r>
      <w:r>
        <w:rPr>
          <w:rFonts w:ascii="Consolas" w:hAnsi="Consolas"/>
          <w:sz w:val="19"/>
        </w:rPr>
        <w:t>pgd+wos+aug</w:t>
      </w:r>
      <w:r>
        <w:t>. Jde zřejmě o překlep; tato politika se drží F.4.1.</w:t>
      </w:r>
    </w:p>
    <w:p>
      <w:pPr>
        <w:pStyle w:val="Heading2"/>
      </w:pPr>
      <w:r>
        <w:t>3.3 Profily uchování</w:t>
      </w:r>
    </w:p>
    <w:p>
      <w:r>
        <w:t>TS 119 511 (6.4) popisuje službu uchovávání jejími profily. Odpovídají jim čtyři úkony AnEP: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361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Profil</w:t>
            </w:r>
          </w:p>
        </w:tc>
        <w:tc>
          <w:tcPr>
            <w:tcW w:type="dxa" w:w="1681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Cíl</w:t>
            </w:r>
          </w:p>
        </w:tc>
        <w:tc>
          <w:tcPr>
            <w:tcW w:type="dxa" w:w="3081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Vstup</w:t>
            </w:r>
          </w:p>
        </w:tc>
        <w:tc>
          <w:tcPr>
            <w:tcW w:type="dxa" w:w="3289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Důkaz o uchování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Uchování</w:t>
            </w:r>
          </w:p>
        </w:tc>
        <w:tc>
          <w:tcPr>
            <w:tcW w:type="dxa" w:w="1681"/>
            <w:vAlign w:val="top"/>
          </w:tcPr>
          <w:p>
            <w:pPr>
              <w:spacing w:after="0"/>
            </w:pPr>
            <w:r>
              <w:rPr>
                <w:sz w:val="19"/>
              </w:rPr>
              <w:t>PDS, při opakování AUG</w:t>
            </w:r>
          </w:p>
        </w:tc>
        <w:tc>
          <w:tcPr>
            <w:tcW w:type="dxa" w:w="3081"/>
            <w:vAlign w:val="top"/>
          </w:tcPr>
          <w:p>
            <w:pPr>
              <w:spacing w:after="0"/>
            </w:pPr>
            <w:r>
              <w:rPr>
                <w:sz w:val="19"/>
              </w:rPr>
              <w:t>PAdES, CAdES, XAdES, JAdES, ASiC</w:t>
            </w:r>
          </w:p>
        </w:tc>
        <w:tc>
          <w:tcPr>
            <w:tcW w:type="dxa" w:w="3289"/>
            <w:vAlign w:val="top"/>
          </w:tcPr>
          <w:p>
            <w:pPr>
              <w:spacing w:after="0"/>
            </w:pPr>
            <w:r>
              <w:rPr>
                <w:sz w:val="19"/>
              </w:rPr>
              <w:t>archivní razítko v podpisu; výsledek v úrovni B-LTA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Přerazítkování</w:t>
            </w:r>
          </w:p>
        </w:tc>
        <w:tc>
          <w:tcPr>
            <w:tcW w:type="dxa" w:w="1681"/>
            <w:vAlign w:val="top"/>
          </w:tcPr>
          <w:p>
            <w:pPr>
              <w:spacing w:after="0"/>
            </w:pPr>
            <w:r>
              <w:rPr>
                <w:sz w:val="19"/>
              </w:rPr>
              <w:t>PDS</w:t>
            </w:r>
          </w:p>
        </w:tc>
        <w:tc>
          <w:tcPr>
            <w:tcW w:type="dxa" w:w="3081"/>
            <w:vAlign w:val="top"/>
          </w:tcPr>
          <w:p>
            <w:pPr>
              <w:spacing w:after="0"/>
            </w:pPr>
            <w:r>
              <w:rPr>
                <w:sz w:val="19"/>
              </w:rPr>
              <w:t>PDF, včetně nereferenčních formátů</w:t>
            </w:r>
          </w:p>
        </w:tc>
        <w:tc>
          <w:tcPr>
            <w:tcW w:type="dxa" w:w="3289"/>
            <w:vAlign w:val="top"/>
          </w:tcPr>
          <w:p>
            <w:pPr>
              <w:spacing w:after="0"/>
            </w:pPr>
            <w:r>
              <w:rPr>
                <w:sz w:val="19"/>
              </w:rPr>
              <w:t>dokumentové časové razítko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Prodloužení</w:t>
            </w:r>
          </w:p>
        </w:tc>
        <w:tc>
          <w:tcPr>
            <w:tcW w:type="dxa" w:w="1681"/>
            <w:vAlign w:val="top"/>
          </w:tcPr>
          <w:p>
            <w:pPr>
              <w:spacing w:after="0"/>
            </w:pPr>
            <w:r>
              <w:rPr>
                <w:sz w:val="19"/>
              </w:rPr>
              <w:t>PDS</w:t>
            </w:r>
          </w:p>
        </w:tc>
        <w:tc>
          <w:tcPr>
            <w:tcW w:type="dxa" w:w="3081"/>
            <w:vAlign w:val="top"/>
          </w:tcPr>
          <w:p>
            <w:pPr>
              <w:spacing w:after="0"/>
            </w:pPr>
            <w:r>
              <w:rPr>
                <w:sz w:val="19"/>
              </w:rPr>
              <w:t>tytéž formáty jako uchování, navíc PDF-NOT-ETSI</w:t>
            </w:r>
          </w:p>
        </w:tc>
        <w:tc>
          <w:tcPr>
            <w:tcW w:type="dxa" w:w="3289"/>
            <w:vAlign w:val="top"/>
          </w:tcPr>
          <w:p>
            <w:pPr>
              <w:spacing w:after="0"/>
            </w:pPr>
            <w:r>
              <w:rPr>
                <w:sz w:val="19"/>
              </w:rPr>
              <w:t>archivní nebo dokumentové časové razítko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Forenzní balíček</w:t>
            </w:r>
          </w:p>
        </w:tc>
        <w:tc>
          <w:tcPr>
            <w:tcW w:type="dxa" w:w="1681"/>
            <w:vAlign w:val="top"/>
          </w:tcPr>
          <w:p>
            <w:pPr>
              <w:spacing w:after="0"/>
            </w:pPr>
            <w:r>
              <w:rPr>
                <w:sz w:val="19"/>
              </w:rPr>
              <w:t>PGD</w:t>
            </w:r>
          </w:p>
        </w:tc>
        <w:tc>
          <w:tcPr>
            <w:tcW w:type="dxa" w:w="3081"/>
            <w:vAlign w:val="top"/>
          </w:tcPr>
          <w:p>
            <w:pPr>
              <w:spacing w:after="0"/>
            </w:pPr>
            <w:r>
              <w:rPr>
                <w:sz w:val="19"/>
              </w:rPr>
              <w:t>libovolný soubor</w:t>
            </w:r>
          </w:p>
        </w:tc>
        <w:tc>
          <w:tcPr>
            <w:tcW w:type="dxa" w:w="3289"/>
            <w:vAlign w:val="top"/>
          </w:tcPr>
          <w:p>
            <w:pPr>
              <w:spacing w:after="0"/>
            </w:pPr>
            <w:r>
              <w:rPr>
                <w:sz w:val="19"/>
              </w:rPr>
              <w:t>kontejner ASiC-E s časovým razítkem</w:t>
            </w:r>
          </w:p>
        </w:tc>
      </w:tr>
    </w:tbl>
    <w:p>
      <w:pPr>
        <w:spacing w:after="80"/>
      </w:pPr>
    </w:p>
    <w:p>
      <w:r>
        <w:t>Všechny profily pracují v modelu bez ukládání. Profil platí po dobu platnosti verze této politiky, ve které je popsán. Profily nemají vlastní identifikátor; označuje je název úkonu a verze politiky.</w:t>
      </w:r>
    </w:p>
    <w:p>
      <w:pPr>
        <w:pStyle w:val="Heading2"/>
      </w:pPr>
      <w:r>
        <w:t>3.4 Co AnEP nedělá</w:t>
      </w:r>
    </w:p>
    <w:p>
      <w:pPr>
        <w:pStyle w:val="ListBullet"/>
      </w:pPr>
      <w:r>
        <w:t>Nepodepisuje a podpis neobnovuje; přidává jen časová razítka a validační data.</w:t>
      </w:r>
    </w:p>
    <w:p>
      <w:pPr>
        <w:pStyle w:val="ListBullet"/>
      </w:pPr>
      <w:r>
        <w:t>Nevytváří evidenční záznamy (ERS); umí je jen ověřit.</w:t>
      </w:r>
    </w:p>
    <w:p>
      <w:pPr>
        <w:pStyle w:val="ListBullet"/>
      </w:pPr>
      <w:r>
        <w:t>Nic neukládá a nehlídá lhůty sám; nesleduje vývoj kryptografie.</w:t>
      </w:r>
    </w:p>
    <w:p>
      <w:pPr>
        <w:pStyle w:val="ListBullet"/>
      </w:pPr>
      <w:r>
        <w:t>Nepřijímá místo podepsaných dat jen jejich otisk.</w:t>
      </w:r>
    </w:p>
    <w:p>
      <w:pPr>
        <w:pStyle w:val="ListBullet"/>
      </w:pPr>
      <w:r>
        <w:t>Nezaručuje, že výsledek uzná jiný ověřovatel (kapitola 10).</w:t>
      </w:r>
    </w:p>
    <w:p>
      <w:pPr>
        <w:pStyle w:val="Heading1"/>
        <w:pBdr>
          <w:bottom w:val="single" w:sz="8" w:space="4" w:color="4D8A19"/>
        </w:pBdr>
      </w:pPr>
      <w:r>
        <w:t>4 Vstupy a předpoklady</w:t>
      </w:r>
    </w:p>
    <w:p>
      <w:pPr>
        <w:pStyle w:val="Heading2"/>
      </w:pPr>
      <w:r>
        <w:t>4.1 Výsledek ověření</w:t>
      </w:r>
    </w:p>
    <w:p>
      <w:r>
        <w:t>O nabídce úkonu se rozhoduje z téhož ověření, které uživatel vidí na kartě dokumentu, podle politiky ověřování. Validační data, která dokument nese, se ověřují; chybějící se dosbírají on-line a z vlastních úložišť (TS 119 511, OVR-9.3-01 a 9.3-02).</w:t>
      </w:r>
    </w:p>
    <w:p>
      <w:pPr>
        <w:pStyle w:val="Heading2"/>
      </w:pPr>
      <w:r>
        <w:t>4.2 Zdroj časových razítek</w:t>
      </w:r>
    </w:p>
    <w:p>
      <w:pPr>
        <w:pStyle w:val="ListBullet"/>
      </w:pPr>
      <w:r>
        <w:t xml:space="preserve">Zdroj se zadává jako pojmenovaný profil s adresou, přihlášením (jménem a heslem, nebo klientským certifikátem) a hašovací funkcí, kterou se počítá otisk dat odesílaný autoritě. Použít lze </w:t>
      </w:r>
      <w:r>
        <w:rPr>
          <w:b/>
        </w:rPr>
        <w:t>kterýkoli zdroj</w:t>
      </w:r>
      <w:r>
        <w:t>, který uživatel zadá; veřejný zdroj Sectigo Qualified umí aplikace předvyplnit.</w:t>
      </w:r>
    </w:p>
    <w:p>
      <w:pPr>
        <w:pStyle w:val="ListBullet"/>
      </w:pPr>
      <w:r>
        <w:t xml:space="preserve">Při zadání se zdroj </w:t>
      </w:r>
      <w:r>
        <w:rPr>
          <w:b/>
        </w:rPr>
        <w:t>otestuje</w:t>
      </w:r>
      <w:r>
        <w:t>: aplikace si vyžádá razítko nad náhodným otiskem (tedy nad ničím, co by mohlo sloužit jako doklad) a zjistí z něj konec platnosti certifikátu autority, hašovací funkce otisku, které autorita přijímá, kvalifikovanost razítka podle důvěryhodných seznamů a algoritmus i délku klíče, kterými autorita razítka podepisuje. Konec platnosti certifikátu a klíč se pak zpřesňují z každého skutečného razítka. U zdroje, jehož kvalifikovanost se při zadání nezjistila (zdroje zadané dřív, než se začala měřit), se doplní z ověření výsledku prvního úkonu: kvalifikovanost razítka, které úkon přidal, posoudí táž cesta proti důvěryhodným seznamům.</w:t>
      </w:r>
    </w:p>
    <w:p>
      <w:pPr>
        <w:pStyle w:val="ListBullet"/>
      </w:pPr>
      <w:r>
        <w:t>Razítka se žádají protokolem RFC 3161 (OVR-9.2-01). Zda autorita postupuje podle EN 319 421 a razítka odpovídají EN 319 422 (OVR-7.5-02, OVR-9.2-02), aplikace neověřuje; ověřuje jen kvalifikovanost.</w:t>
      </w:r>
    </w:p>
    <w:p>
      <w:pPr>
        <w:pStyle w:val="ListBullet"/>
      </w:pPr>
      <w:r>
        <w:t xml:space="preserve">U zdroje, jehož razítka </w:t>
      </w:r>
      <w:r>
        <w:rPr>
          <w:b/>
        </w:rPr>
        <w:t>nejsou kvalifikovaná</w:t>
      </w:r>
      <w:r>
        <w:t>, to aplikace řekne při zadání, v nabídce úkonu i ve jménu výsledného souboru. Pro uchování doporučuje kvalifikovaný zdroj (TS 119 511, příloha A, OVR-A-03).</w:t>
      </w:r>
    </w:p>
    <w:p>
      <w:pPr>
        <w:pStyle w:val="ListBullet"/>
      </w:pPr>
      <w:r>
        <w:t>Podepisuje-li autorita razítka klíčem, který podle kryptografické sady politiky ověřování přestane být spolehlivý dřív, než skončí její certifikát (dnes klíč RSA o 2 048 bitech s datem 1. 1. 2027), aplikace na to upozorní u zdroje i v bloku o dosahu úkonu a doporučí zdroj s klíčem RSA aspoň 3 000 bitů nebo ECDSA.</w:t>
      </w:r>
    </w:p>
    <w:p>
      <w:pPr>
        <w:pStyle w:val="ListBullet"/>
      </w:pPr>
      <w:r>
        <w:t>Aplikace upozorní také tehdy, když vybraný zdroj ověřitelnost prakticky neposune, protože certifikát jeho autority končí dřív, než kam dokument dosáhne i bez zásahu.</w:t>
      </w:r>
    </w:p>
    <w:p>
      <w:pPr>
        <w:pStyle w:val="Heading2"/>
      </w:pPr>
      <w:r>
        <w:t>4.3 Síť a data</w:t>
      </w:r>
    </w:p>
    <w:p>
      <w:r>
        <w:t>Při úkonu se po síti stahují jen revokační údaje, chybějící certifikáty vydavatelů a časová razítka. Nedostupnost zdroje razítek se nezamění za odmítnutí. Obsah dokumentů aplikace neukládá (TS 119 511, OVR-9.1-01); uchovává jen údaje pro vlastní chod — nastavení, mezipaměť důvěryhodných seznamů, vlastní úložiště certifikátů a CRL a seznam naposledy otevřených souborů.</w:t>
      </w:r>
    </w:p>
    <w:p>
      <w:pPr>
        <w:pStyle w:val="Heading1"/>
        <w:pBdr>
          <w:bottom w:val="single" w:sz="8" w:space="4" w:color="4D8A19"/>
        </w:pBdr>
      </w:pPr>
      <w:r>
        <w:t>5 Dokdy je dokument ověřitelný</w:t>
      </w:r>
    </w:p>
    <w:p>
      <w:pPr>
        <w:pStyle w:val="Heading2"/>
      </w:pPr>
      <w:r>
        <w:t>5.1 Tři čtení</w:t>
      </w:r>
    </w:p>
    <w:p>
      <w:r>
        <w:t>Otázka, dokdy je dokument ověřitelný, nemá jednu odpověď — závisí na tom, kdo ověřuje. Aplikace proto odpovídá třikrát:</w:t>
      </w:r>
    </w:p>
    <w:p>
      <w:pPr>
        <w:pStyle w:val="ListBullet"/>
      </w:pPr>
      <w:r>
        <w:rPr>
          <w:b/>
        </w:rPr>
        <w:t>AnEP</w:t>
      </w:r>
      <w:r>
        <w:t xml:space="preserve"> — tak, jak se právě ověřovalo, včetně zapnutých ústupků, vlastních úložišť a případného zadaného okamžiku.</w:t>
      </w:r>
    </w:p>
    <w:p>
      <w:pPr>
        <w:pStyle w:val="ListBullet"/>
      </w:pPr>
      <w:r>
        <w:rPr>
          <w:b/>
        </w:rPr>
        <w:t>Podle standardů</w:t>
      </w:r>
      <w:r>
        <w:t xml:space="preserve"> — validátor bez jakýchkoli odchylek; kde to dnes už nejde, řekne se, dokdy to šlo.</w:t>
      </w:r>
    </w:p>
    <w:p>
      <w:pPr>
        <w:pStyle w:val="ListBullet"/>
      </w:pPr>
      <w:r>
        <w:rPr>
          <w:b/>
        </w:rPr>
        <w:t>CzechPOINT, podatelny a další validátory</w:t>
      </w:r>
      <w:r>
        <w:t xml:space="preserve"> s vlastní zásobou revokačních informací, které mohou být tolerantnější k některým požadavkům standardů, ale posuzovat časová razítka přísněji. O nich aplikace mluví vždy jen v možnosti: nezná jejich verzi, nastavení ani obsah jejich zásob.</w:t>
      </w:r>
    </w:p>
    <w:p>
      <w:pPr>
        <w:pStyle w:val="Heading2"/>
      </w:pPr>
      <w:r>
        <w:t>5.2 Co datum určuje</w:t>
      </w:r>
    </w:p>
    <w:p>
      <w:r>
        <w:t>Datum určuje článek, který povolí nejdřív:</w:t>
      </w:r>
    </w:p>
    <w:p>
      <w:pPr>
        <w:pStyle w:val="ListBullet"/>
      </w:pPr>
      <w:r>
        <w:rPr>
          <w:b/>
        </w:rPr>
        <w:t>důkaz existence</w:t>
      </w:r>
      <w:r>
        <w:t xml:space="preserve"> — dokdy obstojí časové razítko, které podpis dokládá;</w:t>
      </w:r>
    </w:p>
    <w:p>
      <w:pPr>
        <w:pStyle w:val="ListBullet"/>
      </w:pPr>
      <w:r>
        <w:rPr>
          <w:b/>
        </w:rPr>
        <w:t>dostupnost revokačních informací</w:t>
      </w:r>
      <w:r>
        <w:t xml:space="preserve"> — dokdy je vydavatel zveřejňuje;</w:t>
      </w:r>
    </w:p>
    <w:p>
      <w:pPr>
        <w:pStyle w:val="ListBullet"/>
      </w:pPr>
      <w:r>
        <w:rPr>
          <w:b/>
        </w:rPr>
        <w:t>uznatelnost vloženého revokačního údaje</w:t>
      </w:r>
      <w:r>
        <w:t xml:space="preserve"> — dokdy platí certifikát jeho vydavatele;</w:t>
      </w:r>
    </w:p>
    <w:p>
      <w:pPr>
        <w:pStyle w:val="ListBullet"/>
      </w:pPr>
      <w:r>
        <w:rPr>
          <w:b/>
        </w:rPr>
        <w:t>uznání razítka</w:t>
      </w:r>
      <w:r>
        <w:t xml:space="preserve"> — kvalifikované razítko drží do vyřazení služby z důvěryhodných seznamů, jinak do konce platnosti certifikátu jeho autority.</w:t>
      </w:r>
    </w:p>
    <w:p>
      <w:r>
        <w:t>Kde rozhoduje vyřazení služby, které se předem neví, datum se neuvádí. Algoritmy podpisu a razítek se do data nezapočítávají: ověření na data za poslední aktualizací kryptografické sady reaguje jen varováním (politika ověřování, kapitola 10). Algoritmus nejnovějšího razítka ale ovlivňuje radu, kdy jednat (kapitola 7).</w:t>
      </w:r>
    </w:p>
    <w:p>
      <w:pPr>
        <w:pStyle w:val="Heading2"/>
      </w:pPr>
      <w:r>
        <w:t>5.3 Dosah úkonu a očekávaná doba trvání důkazu</w:t>
      </w:r>
    </w:p>
    <w:p>
      <w:r>
        <w:t xml:space="preserve">Úkon posune ověřitelnost na </w:t>
      </w:r>
      <w:r>
        <w:rPr>
          <w:b/>
        </w:rPr>
        <w:t>pozdější</w:t>
      </w:r>
      <w:r>
        <w:t xml:space="preserve"> ze dvou dat: dokdy dokument vydrží už dnes, a dokdy platí certifikát autority vybraného zdroje razítek. Nové razítko dosáhne jen tam, kam sahá certifikát jeho autority, ale nezkracuje to, co dokument už má.</w:t>
      </w:r>
    </w:p>
    <w:p>
      <w:r>
        <w:t xml:space="preserve">V pojmech TS 119 511 (4.4) je toto datum </w:t>
      </w:r>
      <w:r>
        <w:rPr>
          <w:b/>
        </w:rPr>
        <w:t>očekávanou dobou trvání důkazu</w:t>
      </w:r>
      <w:r>
        <w:t>. Profil ji podle OVR-6.4-06 má uvádět, a AnEP ji uvádí ve jménu výsledného souboru (9.1) a v záznamu o úkonu (9.3).</w:t>
      </w:r>
    </w:p>
    <w:p>
      <w:r>
        <w:rPr>
          <w:b/>
        </w:rPr>
        <w:t>Odchylka od OVR-6.4-07 a 6.4-08.</w:t>
      </w:r>
      <w:r>
        <w:t xml:space="preserve"> Norma žádá, aby se očekávaná doba trvání důkazu zakládala na odhadu vhodnosti kryptografických algoritmů, a doporučuje k tomu ETSI TS 119 312. AnEP ji počítá z certifikátů a dostupnosti revokačních informací a algoritmy do ní nezapočítává, a to záměrně: samo ověření na data za poslední aktualizací kryptografické sady reaguje jen varováním, takže zkrácené datum by tvrdilo konec ověřitelnosti, který v AnEP nenastane. Měřeno 5. 10. 2026 na sbírce 2 745 souborů s 1 564 prvky: zkrácení podle algoritmů by se týkalo 293 z 488 prvků s datem a všechny by dostaly datum 1. 1. 2027 kvůli klíči RSA o 2 048 bitech autority posledního razítka. Místo zkrácení data aplikace upozorňuje na slabý klíč (4.2, kapitola 7, 9.3).</w:t>
      </w:r>
    </w:p>
    <w:p>
      <w:pPr>
        <w:pStyle w:val="Heading1"/>
        <w:pBdr>
          <w:bottom w:val="single" w:sz="8" w:space="4" w:color="4D8A19"/>
        </w:pBdr>
      </w:pPr>
      <w:r>
        <w:t>6 Úkony a podmínky jejich nabídky</w:t>
      </w:r>
    </w:p>
    <w:p>
      <w:pPr>
        <w:pStyle w:val="Heading2"/>
      </w:pPr>
      <w:r>
        <w:t>6.1 Společné zásady</w:t>
      </w:r>
    </w:p>
    <w:p>
      <w:pPr>
        <w:pStyle w:val="ListBullet"/>
      </w:pPr>
      <w:r>
        <w:t>Podepsané bajty se nemění. Úkon zapisuje nový soubor; u PDF jako přírůstkovou aktualizaci.</w:t>
      </w:r>
    </w:p>
    <w:p>
      <w:pPr>
        <w:pStyle w:val="ListBullet"/>
      </w:pPr>
      <w:r>
        <w:t xml:space="preserve">Úkon je </w:t>
      </w:r>
      <w:r>
        <w:rPr>
          <w:b/>
        </w:rPr>
        <w:t>dokumentový</w:t>
      </w:r>
      <w:r>
        <w:t>: nové časové razítko kryje celý soubor, takže se provádí jednou pro všechny prvky v něm. Prvku, na který nedosáhne, neuškodí — co je na něm dnes sporné, zůstane sporné. Jak se úkon projeví na kterém prvku, aplikace vypíše.</w:t>
      </w:r>
    </w:p>
    <w:p>
      <w:pPr>
        <w:pStyle w:val="ListBullet"/>
      </w:pPr>
      <w:r>
        <w:t xml:space="preserve">Varianty se vylučují a nabídne se jediná, v pořadí </w:t>
      </w:r>
      <w:r>
        <w:rPr>
          <w:b/>
        </w:rPr>
        <w:t>uchování, přerazítkování, prodloužení</w:t>
      </w:r>
      <w:r>
        <w:t xml:space="preserve"> — nejsilnější, na kterou dosáhne aspoň jeden prvek.</w:t>
      </w:r>
    </w:p>
    <w:p>
      <w:pPr>
        <w:pStyle w:val="ListBullet"/>
      </w:pPr>
      <w:r>
        <w:t>Úkon je opakovatelný; dokument, který už uchován byl, lze uchovat znovu.</w:t>
      </w:r>
    </w:p>
    <w:p>
      <w:pPr>
        <w:pStyle w:val="Heading2"/>
      </w:pPr>
      <w:r>
        <w:t>6.2 Když nejdou sehnat všechna validační data</w:t>
      </w:r>
    </w:p>
    <w:p>
      <w:r>
        <w:t>TS 119 511 (4.2) uvádí tři možné postupy služby, která nedokáže sehnat všechna potřebná validační data: oznámit selhání, uchovat vše, co lze shromáždit, nebo data dosbírat později. AnEP postupuje podle varianty:</w:t>
      </w:r>
    </w:p>
    <w:p>
      <w:pPr>
        <w:pStyle w:val="ListBullet"/>
      </w:pPr>
      <w:r>
        <w:rPr>
          <w:b/>
        </w:rPr>
        <w:t>Za dokument</w:t>
      </w:r>
      <w:r>
        <w:t xml:space="preserve"> stačí jeden prvek, na který úkon dosáhne — to odpovídá postupu „uchovat vše, co lze shromáždit“. Ostatním prvkům úkon neuškodí a výčet řekne, na které nedosáhne.</w:t>
      </w:r>
    </w:p>
    <w:p>
      <w:pPr>
        <w:pStyle w:val="ListBullet"/>
      </w:pPr>
      <w:r>
        <w:rPr>
          <w:b/>
        </w:rPr>
        <w:t>Uchování</w:t>
      </w:r>
      <w:r>
        <w:t xml:space="preserve"> se u prvku nenabídne, nelze-li sehnat všechna chybějící data — to odpovídá postupu „oznámit selhání“, a aplikace uvede proč.</w:t>
      </w:r>
    </w:p>
    <w:p>
      <w:pPr>
        <w:pStyle w:val="ListBullet"/>
      </w:pPr>
      <w:r>
        <w:rPr>
          <w:b/>
        </w:rPr>
        <w:t>Přerazítkování</w:t>
      </w:r>
      <w:r>
        <w:t xml:space="preserve"> vloží </w:t>
      </w:r>
      <w:r>
        <w:rPr>
          <w:highlight w:val="yellow"/>
        </w:rPr>
        <w:t>z chybějících dat, která má aplikace k dispozici, ta, která o certifikátu něco vypovídají (6.4)</w:t>
      </w:r>
      <w:r>
        <w:t xml:space="preserve"> — opět „uchovat vše, co lze shromáždit“</w:t>
      </w:r>
      <w:r>
        <w:rPr>
          <w:highlight w:val="yellow"/>
        </w:rPr>
        <w:t>, jen bez údajů, které nikomu nic nedokládají</w:t>
      </w:r>
      <w:r>
        <w:t>.</w:t>
      </w:r>
    </w:p>
    <w:p>
      <w:pPr>
        <w:pStyle w:val="ListBullet"/>
      </w:pPr>
      <w:r>
        <w:t xml:space="preserve">Data </w:t>
      </w:r>
      <w:r>
        <w:rPr>
          <w:b/>
        </w:rPr>
        <w:t>dosbírat později</w:t>
      </w:r>
      <w:r>
        <w:t xml:space="preserve"> AnEP sám neumí. Jediný případ, kdy odklad doporučí, je čerstvě podepsaný dokument (6.3).</w:t>
      </w:r>
    </w:p>
    <w:p>
      <w:pPr>
        <w:pStyle w:val="Heading2"/>
      </w:pPr>
      <w:r>
        <w:t>6.3 Uchování</w:t>
      </w:r>
    </w:p>
    <w:p>
      <w:r>
        <w:t>Uchování doplní chybějící revokační informace a certifikáty a zafixuje je archivním časovým razítkem; výsledkem je úroveň B-LTA, kterou by měl ověřit kterýkoli validátor postupující podle standardů. Nabídne se, platí-li u prvku:</w:t>
      </w:r>
    </w:p>
    <w:p>
      <w:pPr>
        <w:pStyle w:val="ListBullet"/>
      </w:pPr>
      <w:r>
        <w:t>závěr ověření je platný, nebo data, která k němu chybějí, už v dokumentu jsou a chybí jen důkaz, že tam byla (ten archivní razítko vytvoří);</w:t>
      </w:r>
    </w:p>
    <w:p>
      <w:pPr>
        <w:pStyle w:val="ListBullet"/>
      </w:pPr>
      <w:r>
        <w:t>ověření proběhlo bez ústupků a bez zadaného okamžiku;</w:t>
      </w:r>
    </w:p>
    <w:p>
      <w:pPr>
        <w:pStyle w:val="ListBullet"/>
      </w:pPr>
      <w:r>
        <w:t>řada časových razítek je nepřerušená a její poslední článek stojí na dosud platném certifikátu (u podpisu bez razítka se řada neposuzuje — žádná není);</w:t>
      </w:r>
    </w:p>
    <w:p>
      <w:pPr>
        <w:pStyle w:val="ListBullet"/>
      </w:pPr>
      <w:r>
        <w:t>je co doplnit nebo zafixovat a dá se to opatřit.</w:t>
      </w:r>
    </w:p>
    <w:p>
      <w:r>
        <w:t>U podpisu v úrovni B, který ještě žádné razítko nemá, přidá úkon razítka dvě: první podpis ukotví v čase, druhé je archivní a kryje i validační data doplněná mezi nimi. Podpisový certifikát přitom musí být platný a neodvolaný, protože razítko vytvořené po jeho revokaci nebo expiraci standardy nepřipouštějí (EN 319 122-1, kap. 6.3, požadavek m).</w:t>
      </w:r>
    </w:p>
    <w:p>
      <w:r>
        <w:t xml:space="preserve">Úkon vloží revokační údaje a certifikáty, na kterých stál závěr ověření, </w:t>
      </w:r>
      <w:r>
        <w:rPr>
          <w:b/>
        </w:rPr>
        <w:t>včetně těch z vlastních úložišť</w:t>
      </w:r>
      <w:r>
        <w:t xml:space="preserve"> uživatele: jinak by uchovaný soubor postrádal právě ten doklad. Údaje, které ověření použít nemůže, se nevkládají. Tím úkon naplňuje OVR-9.3-03: dokládá existenci podpisu i validačních dat.</w:t>
      </w:r>
    </w:p>
    <w:p>
      <w:r>
        <w:t>U čerstvě podepsaného dokumentu, jehož závěr stojí na revokačním údaji vydaném dřív než podpis, aplikace doporučí s uchováním počkat, až vydavatel zveřejní údaj novější: uchování by starší údaj zafixovalo natrvalo. Doporučení platí jen pro podpis mladší než 24 hodin; u staršího dokumentu by čekání nebylo k ničemu.</w:t>
      </w:r>
    </w:p>
    <w:p>
      <w:r>
        <w:t>Poškozené časové razítko (nesouhlasí jeho otisk nebo podpis), které o závěru ověření nerozhoduje, protože prvek má jiné platné razítko z doby platnosti podpisového certifikátu (politika ověřování, 8.1), uchování nebrání. Archivní razítko poškozené razítko nespraví, jen ho překryje spolu s ostatním obsahem, a výsledek ověření o něm dál ponese poznámku. Požadavek platného a neodvolaného podpisového certifikátu pro nové podpisové razítko tím dotčen není.</w:t>
      </w:r>
    </w:p>
    <w:p>
      <w:r>
        <w:t>PDF, které nese jen podpisy v nereferenčním formátu (PDF-NOT-ETSI), uchovat nelze: uchování nemůže dodat podepsané atributy, které takový podpis nikdy nenesl. Takový dokument může projít přerazítkováním nebo prodloužením.</w:t>
      </w:r>
    </w:p>
    <w:p>
      <w:pPr>
        <w:pStyle w:val="Heading2"/>
      </w:pPr>
      <w:r>
        <w:t>6.4 Přerazítkování</w:t>
      </w:r>
    </w:p>
    <w:p>
      <w:r>
        <w:t xml:space="preserve">Přerazítkování přidá k dokumentu nové časové razítko nad dnešním stavem a vloží ty chybějící validační údaje, </w:t>
      </w:r>
      <w:r>
        <w:rPr>
          <w:highlight w:val="yellow"/>
        </w:rPr>
        <w:t>které o certifikátu něco vypovídají (viz níže)</w:t>
      </w:r>
      <w:r>
        <w:t>. Je určeno ověřovatelům, kteří časová razítka posuzují podle platnosti jejich certifikátů a revokační informace si mohou doplnit z vlastní zásoby. Nabídne se jen u PDF (včetně nereferenčních formátů) a jen tam, kde uchování nejde, platí-li u prvku:</w:t>
      </w:r>
    </w:p>
    <w:p>
      <w:pPr>
        <w:pStyle w:val="ListBullet"/>
      </w:pPr>
      <w:r>
        <w:t>závěr ověření je platný, nebo existuje naděje, že ho vydá ověřovatel posuzující tolerantněji (s revokačními údaji, které přísné čtení nepřipouští, s ústupkem, nebo s kotvou z vlastního úložiště);</w:t>
      </w:r>
    </w:p>
    <w:p>
      <w:pPr>
        <w:pStyle w:val="ListBullet"/>
      </w:pPr>
      <w:r>
        <w:t>řada razítek je nepřerušená podle měřítka těch, komu je úkon určen, a poslední razítko stojí na dosud platném certifikátu;</w:t>
      </w:r>
    </w:p>
    <w:p>
      <w:pPr>
        <w:pStyle w:val="ListBullet"/>
      </w:pPr>
      <w:r>
        <w:t>revokační informace jsou k dispozici, i v podobě, kterou přísná pravidla nepřipouštějí;</w:t>
      </w:r>
    </w:p>
    <w:p>
      <w:pPr>
        <w:pStyle w:val="ListBullet"/>
      </w:pPr>
      <w:r>
        <w:t>dokument se neověřoval k zadanému okamžiku.</w:t>
      </w:r>
    </w:p>
    <w:p>
      <w:r>
        <w:rPr>
          <w:highlight w:val="yellow"/>
        </w:rPr>
        <w:t>Z revokačních údajů, které má aplikace k dispozici, se vloží ty, které o certifikátu něco vypovídají: vydané za jeho platnosti (i od vydavatele, jehož certifikát mezitím vypršel), vydané po expiraci s výslovným závazkem vydavatele (</w:t>
      </w:r>
      <w:r>
        <w:rPr>
          <w:rFonts w:ascii="Consolas" w:hAnsi="Consolas"/>
          <w:sz w:val="19"/>
          <w:highlight w:val="yellow"/>
        </w:rPr>
        <w:t>expiredCertsOnCRL</w:t>
      </w:r>
      <w:r>
        <w:rPr>
          <w:highlight w:val="yellow"/>
        </w:rPr>
        <w:t xml:space="preserve">, </w:t>
      </w:r>
      <w:r>
        <w:rPr>
          <w:rFonts w:ascii="Consolas" w:hAnsi="Consolas"/>
          <w:sz w:val="19"/>
          <w:highlight w:val="yellow"/>
        </w:rPr>
        <w:t>archiveCutOff</w:t>
      </w:r>
      <w:r>
        <w:rPr>
          <w:highlight w:val="yellow"/>
        </w:rPr>
        <w:t xml:space="preserve">, shodný </w:t>
      </w:r>
      <w:r>
        <w:rPr>
          <w:rFonts w:ascii="Consolas" w:hAnsi="Consolas"/>
          <w:sz w:val="19"/>
          <w:highlight w:val="yellow"/>
        </w:rPr>
        <w:t>CertHash</w:t>
      </w:r>
      <w:r>
        <w:rPr>
          <w:highlight w:val="yellow"/>
        </w:rPr>
        <w:t>) a ty, které certifikát označují za revokovaný. Odpověď „nerevokován“ vydaná po expiraci bez takového závazku se nevkládá. Podle RFC 5280 (3.3) smí vydavatel záznam o expirovaném certifikátu vypustit, takže jeho mlčení nic nedokládá; EN 319 102-1 (5.2.6) takový údaj připouští jen od vydavatele, o němž je známo, že stav po expiraci drží, a EN 319 411-2 (CSS-6.3.10) k tomu předepisuje právě uvedená rozšíření. Při měření (říjen 2026) takový údaj nevyužil ověřovatel s vlastní zásobou revokačních informací, kterému je přerazítkování určeno — revokaci si opatřil sám —, ani Adobe Acrobat Reader. Totéž pravidlo platí pro údaje, které uchování a prodloužení navíc vkládají u prvku, jehož revokační informace jsou k dispozici jen v podobě, kterou přísná pravidla nepřipouštějí.</w:t>
      </w:r>
    </w:p>
    <w:p>
      <w:r>
        <w:t>Ostatní formáty se nepřerazítkovávají: jejich nepodepsané atributy umí přestavět jen knihovna DSS, a ta přitom uplatní právě to přísné filtrování, kvůli kterému přerazítkování existuje. Kde validační data chybějí, dokládá razítko jen to, co bylo k dispozici, ne vše, co ověření potřebuje — výsledek ověří kterýkoli validátor jen tehdy, doplní-li si chybějící sám.</w:t>
      </w:r>
    </w:p>
    <w:p>
      <w:pPr>
        <w:pStyle w:val="Heading2"/>
      </w:pPr>
      <w:r>
        <w:t>6.5 Prodloužení</w:t>
      </w:r>
    </w:p>
    <w:p>
      <w:r>
        <w:t>Prodloužení přidá nové časové razítko jako důkaz, že celý dosavadní stav existoval v době, kdy služba, která vydala poslední razítko, ještě měla kvalifikovaný status. Nabídne se, platí-li u prvku:</w:t>
      </w:r>
    </w:p>
    <w:p>
      <w:pPr>
        <w:pStyle w:val="ListBullet"/>
      </w:pPr>
      <w:r>
        <w:t>ověření podle standardů obstálo, ale jen díky tomu, že služba posledního razítka si dosud drží kvalifikovaný status: certifikát posledního razítka už vypršel, nebo je řada razítek přerušená;</w:t>
      </w:r>
    </w:p>
    <w:p>
      <w:pPr>
        <w:pStyle w:val="ListBullet"/>
      </w:pPr>
      <w:r>
        <w:t>služba posledního razítka nebyla z důvěryhodných seznamů vyřazena;</w:t>
      </w:r>
    </w:p>
    <w:p>
      <w:pPr>
        <w:pStyle w:val="ListBullet"/>
      </w:pPr>
      <w:r>
        <w:t>revokační informace jsou k dispozici;</w:t>
      </w:r>
    </w:p>
    <w:p>
      <w:pPr>
        <w:pStyle w:val="ListBullet"/>
      </w:pPr>
      <w:r>
        <w:t>vypršel-li certifikát posledního razítka, je tento certifikát kotvou důvěry;</w:t>
      </w:r>
    </w:p>
    <w:p>
      <w:pPr>
        <w:pStyle w:val="ListBullet"/>
      </w:pPr>
      <w:r>
        <w:t>ověření proběhlo bez ústupků, s jedinou výjimkou — revokačního údaje u razítka s expirovaným certifikátem — a bez zadaného okamžiku.</w:t>
      </w:r>
    </w:p>
    <w:p>
      <w:r>
        <w:rPr>
          <w:highlight w:val="yellow"/>
        </w:rPr>
        <w:t>Spolu s razítkem úkon doplní chybějící revokační informace a certifikáty stejně jako uchování (6.3): vloží jen ty, které ověření použít může, a revokační údaj vydaný po expiraci certifikátu bez závazku vydavatele nevloží. U prvku, jehož revokační informace jsou k dispozici jen v podobě, kterou přísná pravidla nepřipouštějí, platí navíc pravidlo z 6.4. Údaj o certifikátu právě přidaného razítka výsledný soubor nenese a nést ještě nemůže: podle EN 319 142-1 (6.3) se vkládá až před dalším razítkem.</w:t>
      </w:r>
    </w:p>
    <w:p>
      <w:r>
        <w:t>Pro toho, kdo časová razítka posuzuje podle platnosti jejich certifikátů, v řadě razítek mezera zůstane; prodloužení ji nezacelí. Typickým případem je samostatné časové razítko, jehož certifikát autority už skončil a které drží jen důvěryhodný seznam.</w:t>
      </w:r>
    </w:p>
    <w:p>
      <w:pPr>
        <w:pStyle w:val="Heading2"/>
      </w:pPr>
      <w:r>
        <w:t>6.6 Forenzní balíček</w:t>
      </w:r>
    </w:p>
    <w:p>
      <w:r>
        <w:t>Forenzní balíček zabalí nedotčený originál do kontejneru ASiC-E spolu se vším ověřovacím materiálem, který se podařilo sehnat, se soupisem toho, odkud co pochází (</w:t>
      </w:r>
      <w:r>
        <w:rPr>
          <w:rFonts w:ascii="Consolas" w:hAnsi="Consolas"/>
          <w:sz w:val="19"/>
        </w:rPr>
        <w:t>soupis.xml</w:t>
      </w:r>
      <w:r>
        <w:t>), a případně s dalšími soubory, aby bylo doloženo, že k sobě patří. Kontejner opatří časovým razítkem. V pojmech TS 119 512 je to kontejner objektů uchování se soupisem a cílem uchování obecných dat (PGD).</w:t>
      </w:r>
    </w:p>
    <w:p>
      <w:r>
        <w:t xml:space="preserve">Balíček </w:t>
      </w:r>
      <w:r>
        <w:rPr>
          <w:b/>
        </w:rPr>
        <w:t>ověřitelnost dokumentu neprodlouží</w:t>
      </w:r>
      <w:r>
        <w:t>: dokládá jen, že tento materiál v této podobě existoval v daném okamžiku, a podpisu nedodá důkaz existence, který neměl. Čte ho odborník, ne validátor. Nabízí se tam, kde zachovat ověřitelnost všech prvků nejde; v expertním módu i vedle uchování. Balíček lze obnovit novým razítkem nad kontejnerem; jeho lhůtou je konec platnosti certifikátu posledního razítka.</w:t>
      </w:r>
    </w:p>
    <w:p>
      <w:pPr>
        <w:pStyle w:val="Heading2"/>
      </w:pPr>
      <w:r>
        <w:t>6.7 Kdy se nenabídne nic</w:t>
      </w:r>
    </w:p>
    <w:p>
      <w:r>
        <w:t>Uchování, přerazítkování ani prodloužení se nenabídnou, když:</w:t>
      </w:r>
    </w:p>
    <w:p>
      <w:pPr>
        <w:pStyle w:val="ListBullet"/>
      </w:pPr>
      <w:r>
        <w:t xml:space="preserve">je prokázána </w:t>
      </w:r>
      <w:r>
        <w:rPr>
          <w:b/>
        </w:rPr>
        <w:t>porušená integrita</w:t>
      </w:r>
      <w:r>
        <w:t xml:space="preserve"> — razítko by stvrdilo obsah, o kterém je prokázané, že podepsaný nebyl;</w:t>
      </w:r>
    </w:p>
    <w:p>
      <w:pPr>
        <w:pStyle w:val="ListBullet"/>
      </w:pPr>
      <w:r>
        <w:t xml:space="preserve">dokument kryje </w:t>
      </w:r>
      <w:r>
        <w:rPr>
          <w:b/>
        </w:rPr>
        <w:t>evidenční záznam</w:t>
      </w:r>
      <w:r>
        <w:t xml:space="preserve"> — ETSI TS 119 122-3 a TS 119 132-3 pak připouštějí jen přidání nebo obnovení záznamu a rozšíření podpisu by záznam zneplatnilo;</w:t>
      </w:r>
    </w:p>
    <w:p>
      <w:pPr>
        <w:pStyle w:val="ListBullet"/>
      </w:pPr>
      <w:r>
        <w:t xml:space="preserve">jde o </w:t>
      </w:r>
      <w:r>
        <w:rPr>
          <w:b/>
        </w:rPr>
        <w:t>oddělený podpis bez podepsaných dat</w:t>
      </w:r>
      <w:r>
        <w:t>;</w:t>
      </w:r>
    </w:p>
    <w:p>
      <w:pPr>
        <w:pStyle w:val="ListBullet"/>
      </w:pPr>
      <w:r>
        <w:t xml:space="preserve">dokument se ověřoval </w:t>
      </w:r>
      <w:r>
        <w:rPr>
          <w:b/>
        </w:rPr>
        <w:t>k zadanému okamžiku</w:t>
      </w:r>
      <w:r>
        <w:t>;</w:t>
      </w:r>
    </w:p>
    <w:p>
      <w:pPr>
        <w:pStyle w:val="ListBullet"/>
      </w:pPr>
      <w:r>
        <w:rPr>
          <w:b/>
        </w:rPr>
        <w:t>není vybrán zdroj časových razítek</w:t>
      </w:r>
      <w:r>
        <w:t>.</w:t>
      </w:r>
    </w:p>
    <w:p>
      <w:r>
        <w:t>Forenzní balíček v prvních čtyřech případech nabídnout jde, protože dokument nemění. U každého odmítnutí aplikace uvede důvod.</w:t>
      </w:r>
    </w:p>
    <w:p>
      <w:pPr>
        <w:pStyle w:val="Heading1"/>
        <w:pBdr>
          <w:bottom w:val="single" w:sz="8" w:space="4" w:color="4D8A19"/>
        </w:pBdr>
      </w:pPr>
      <w:r>
        <w:t>7 Lhůty k úkonu</w:t>
      </w:r>
    </w:p>
    <w:p>
      <w:r>
        <w:t xml:space="preserve">Lhůta k úkonu je </w:t>
      </w:r>
      <w:r>
        <w:rPr>
          <w:b/>
        </w:rPr>
        <w:t>konec ověřitelnosti dokumentu podle AnEP</w:t>
      </w:r>
      <w:r>
        <w:t xml:space="preserve"> — dokud je co vložit, vznikne úkonem prvek, který si ponese vše potřebné s sebou. Po této lhůtě už není co vkládat a úkon zmůže jen nové razítko nad dnešním stavem, jehož výsledek dokáží ověřit pouze validátory s vlastní zásobou revokačních informací. Uplyne-li první lhůta dřív než tato záložní, aplikace to řekne a uvede i datum, dokdy záložní varianta zbývá.</w:t>
      </w:r>
    </w:p>
    <w:p>
      <w:r>
        <w:rPr>
          <w:b/>
        </w:rPr>
        <w:t>Nejlépe ihned.</w:t>
      </w:r>
      <w:r>
        <w:t xml:space="preserve"> Místo data aplikace radí jednat nejlépe ihned ve dvou případech:</w:t>
      </w:r>
    </w:p>
    <w:p>
      <w:pPr>
        <w:pStyle w:val="ListBullet"/>
      </w:pPr>
      <w:r>
        <w:t>dnešní kladný závěr stojí na revokačním údaji staženém on-line a doba, po kterou se na jeho dostupnost dalo spoléhat, už uplynula — že se ho podařilo stáhnout dnes, neříká nic o tom, zda půjde stáhnout i příště;</w:t>
      </w:r>
    </w:p>
    <w:p>
      <w:pPr>
        <w:pStyle w:val="ListBullet"/>
      </w:pPr>
      <w:r>
        <w:t>nejnovější časové razítko, které prvek kryje, je podepsané algoritmem, který podle kryptografické sady politiky ověřování přestane být spolehlivý dřív, než lhůta uplyne (dnes typicky klíč RSA o 2 048 bitech, 1. 1. 2027). Ověření v AnEP na to datum reaguje jen varováním, jiné validátory ale mohou takové razítko po něm odmítnout, a nové razítko se silnějším algoritmem proto musí přijít dřív.</w:t>
      </w:r>
    </w:p>
    <w:p>
      <w:r>
        <w:rPr>
          <w:b/>
        </w:rPr>
        <w:t>Uplynulá lhůta.</w:t>
      </w:r>
      <w:r>
        <w:t xml:space="preserve"> Je-li lhůta pryč, aplikace to řekne i s datem a doporučí jednat hned, protože podklady se dál spíš ztrácejí, než přibývají.</w:t>
      </w:r>
    </w:p>
    <w:p>
      <w:r>
        <w:rPr>
          <w:b/>
        </w:rPr>
        <w:t>Dokument s více prvky.</w:t>
      </w:r>
      <w:r>
        <w:t xml:space="preserve"> Lhůta v nadpisu je nejbližší z lhůt, které ještě běží; lhůta jednoho prvku, která už uplynula, neomezuje, co úkon dá ostatním. Liší-li se lhůta prvku od lhůty dokumentu, výčet ji u prvku uvede.</w:t>
      </w:r>
    </w:p>
    <w:p>
      <w:pPr>
        <w:pStyle w:val="Heading1"/>
        <w:pBdr>
          <w:bottom w:val="single" w:sz="8" w:space="4" w:color="4D8A19"/>
        </w:pBdr>
      </w:pPr>
      <w:r>
        <w:t>8 Politika důkazů o uchování</w:t>
      </w:r>
    </w:p>
    <w:p>
      <w:pPr>
        <w:pStyle w:val="Heading2"/>
      </w:pPr>
      <w:r>
        <w:t>8.1 Formát důkazu (OVR-6.5-08)</w:t>
      </w:r>
    </w:p>
    <w:p>
      <w:pPr>
        <w:pStyle w:val="ListBullet"/>
      </w:pPr>
      <w:r>
        <w:rPr>
          <w:b/>
        </w:rPr>
        <w:t>PDF:</w:t>
      </w:r>
      <w:r>
        <w:t xml:space="preserve"> validační data se zapíší do slovníku DSS a archivní razítko se přidá jako dokumentové časové razítko v nové přírůstkové revizi. Dokument, který se hlásí k normě PDF/A a splňuje ji, úkon v archivní podobě zachová; změřeno na 80 vyhovujících dokumentech ve 157 průchodech uchováním i přerazítkováním bez jediné ztráty shody. Jde o tvrzení o měření, ne o záruku. </w:t>
      </w:r>
      <w:r>
        <w:rPr>
          <w:highlight w:val="yellow"/>
        </w:rPr>
        <w:t>Nese-li dokument certifikační podpis, který nepovoluje žádné změny (DocMDP P=1), aplikace před úkonem upozorní: EN 319 142-1 (5.4.2.3, 5.4.3) i ISO 32000-2 (DocMDP, tabulka 257) přírůstkovou revizi jen se slovníkem DSS a dokumentovým časovým razítkem za změnu nepovažují, některé čtečky PDF (při měření Adobe Acrobat Reader) ho však mohou vyhodnotit jako nepovolenou změnu a certifikační podpis označit za neplatný. Úkon se nezakazuje, protože ověřovatelé, kterým je určen, mohou výsledek uznat.</w:t>
      </w:r>
    </w:p>
    <w:p>
      <w:pPr>
        <w:pStyle w:val="ListBullet"/>
      </w:pPr>
      <w:r>
        <w:rPr>
          <w:b/>
        </w:rPr>
        <w:t>CAdES, XAdES, JAdES a kontejnery ASiC</w:t>
      </w:r>
      <w:r>
        <w:t xml:space="preserve"> rozšiřuje knihovna DSS na úroveň B-LTA. PDF uložené v kontejneru ASiC se uchovává jako podpis kontejneru, ne jako PDF.</w:t>
      </w:r>
    </w:p>
    <w:p>
      <w:pPr>
        <w:pStyle w:val="ListBullet"/>
      </w:pPr>
      <w:r>
        <w:rPr>
          <w:b/>
        </w:rPr>
        <w:t>Oddělený podpis</w:t>
      </w:r>
      <w:r>
        <w:t xml:space="preserve"> se rozšiřuje jen s podepsanými daty, protože archivní razítko kryje i je.</w:t>
      </w:r>
    </w:p>
    <w:p>
      <w:pPr>
        <w:pStyle w:val="Heading2"/>
      </w:pPr>
      <w:r>
        <w:t>8.2 Kryptografie (OVR-6.5-03, 6.5-04)</w:t>
      </w:r>
    </w:p>
    <w:p>
      <w:r>
        <w:t>Hašovací funkci otisku dat, který se odesílá autoritě, určuje profil zdroje razítek (výchozí je SHA-512) a nabízejí se jen funkce, které autorita při testu přijala. Podpisový algoritmus, délku klíče a hašovací funkci podpisu razítka volí autorita; aplikace je zjistí a upozorní na klíč, který podle knihovny DSS přestane být spolehlivý dřív, než skončí certifikát autority (4.2). Kryptografická omezení při ověřování důkazu stanoví politika ověřování, kapitola 10.</w:t>
      </w:r>
    </w:p>
    <w:p>
      <w:pPr>
        <w:pStyle w:val="Heading2"/>
      </w:pPr>
      <w:r>
        <w:t>8.3 Jak důkaz ověřit (OVR-6.5-06)</w:t>
      </w:r>
    </w:p>
    <w:p>
      <w:r>
        <w:t>Důkaz o uchování je součástí podpisu nebo dokumentu a ověřuje se podle normy formátu podpisu (TS 119 512, F.4.5) kterýmkoli validátorem. Kotvami důvěry pro podpisy i razítka v důkazu jsou evropské důvěryhodné seznamy. Kotva z vlastního úložiště certifikátů uživatele platí jen pro toho, kdo jí důvěřuje také (politika ověřování, kapitola 5).</w:t>
      </w:r>
    </w:p>
    <w:p>
      <w:pPr>
        <w:pStyle w:val="Heading2"/>
      </w:pPr>
      <w:r>
        <w:t>8.4 Co důkaz říká o svém původu (OVR-6.5-09, 9.2-04)</w:t>
      </w:r>
    </w:p>
    <w:p>
      <w:r>
        <w:t xml:space="preserve">Archivní razítko </w:t>
      </w:r>
      <w:r>
        <w:rPr>
          <w:b/>
        </w:rPr>
        <w:t>nenese</w:t>
      </w:r>
      <w:r>
        <w:t xml:space="preserve"> údaj o aplikaci, o této politice ani o profilu uchování. Politika se do důkazu nevkládá; z kontextu ji lze určit podle značky ve jménu výsledného souboru (9.1), podle záznamu o úkonu (9.3) a podle data vzniku razítka, k němuž platí verze politiky uvedená v kapitole 12.</w:t>
      </w:r>
    </w:p>
    <w:p>
      <w:pPr>
        <w:pStyle w:val="Heading1"/>
        <w:pBdr>
          <w:bottom w:val="single" w:sz="8" w:space="4" w:color="4D8A19"/>
        </w:pBdr>
      </w:pPr>
      <w:r>
        <w:t>9 Výsledek úkonu a doklady o něm</w:t>
      </w:r>
    </w:p>
    <w:p>
      <w:pPr>
        <w:pStyle w:val="Heading2"/>
      </w:pPr>
      <w:r>
        <w:t>9.1 Výsledný soubor</w:t>
      </w:r>
    </w:p>
    <w:p>
      <w:r>
        <w:t xml:space="preserve">Jméno výsledného souboru nese značku varianty a datum, dokdy je dokument ověřitelný: </w:t>
      </w:r>
      <w:r>
        <w:rPr>
          <w:rFonts w:ascii="Consolas" w:hAnsi="Consolas"/>
          <w:sz w:val="19"/>
        </w:rPr>
        <w:t>_Uchovano_do_DD_MM_RRRR</w:t>
      </w:r>
      <w:r>
        <w:t xml:space="preserve">, </w:t>
      </w:r>
      <w:r>
        <w:rPr>
          <w:rFonts w:ascii="Consolas" w:hAnsi="Consolas"/>
          <w:sz w:val="19"/>
        </w:rPr>
        <w:t>_Prodlouzeno_do_DD_MM_RRRR</w:t>
      </w:r>
      <w:r>
        <w:t xml:space="preserve">, </w:t>
      </w:r>
      <w:r>
        <w:rPr>
          <w:rFonts w:ascii="Consolas" w:hAnsi="Consolas"/>
          <w:sz w:val="19"/>
        </w:rPr>
        <w:t>_Prerazitkovano_do_DD_MM_RRRR</w:t>
      </w:r>
      <w:r>
        <w:t xml:space="preserve">; forenzní balíček </w:t>
      </w:r>
      <w:r>
        <w:rPr>
          <w:rFonts w:ascii="Consolas" w:hAnsi="Consolas"/>
          <w:sz w:val="19"/>
        </w:rPr>
        <w:t>_Do_DD_MM_RRRR</w:t>
      </w:r>
      <w:r>
        <w:t xml:space="preserve">. Značky jsou bez diakritiky a mezer a nevrství se — při dalším úkonu se dosavadní značka nahradí. Je-li razítko změřeně nekvalifikované, přibude za datum </w:t>
      </w:r>
      <w:r>
        <w:rPr>
          <w:rFonts w:ascii="Consolas" w:hAnsi="Consolas"/>
          <w:sz w:val="19"/>
        </w:rPr>
        <w:t xml:space="preserve"> (DEMO)</w:t>
      </w:r>
      <w:r>
        <w:t>. Datum je očekávaná doba trvání důkazu podle 5.3.</w:t>
      </w:r>
    </w:p>
    <w:p>
      <w:pPr>
        <w:pStyle w:val="Heading2"/>
      </w:pPr>
      <w:r>
        <w:t>9.2 Ověření výsledku</w:t>
      </w:r>
    </w:p>
    <w:p>
      <w:r>
        <w:t>Výsledný soubor se hned po úkonu ověří na pozadí touž cestou, jako kdyby ho uživatel otevřel sám. Výsledek se porovná s předpovědí: u každého prvku stav před úkonem a po něm, zda na něj úkon měl dosáhnout, a zda datum ve jménu souboru odpovídá tomu, co dá ověření. Každý rozchod se vyjmenuje.</w:t>
      </w:r>
    </w:p>
    <w:p>
      <w:pPr>
        <w:pStyle w:val="Heading2"/>
      </w:pPr>
      <w:r>
        <w:t>9.3 Záznam o úkonu</w:t>
      </w:r>
    </w:p>
    <w:p>
      <w:r>
        <w:t>Záznam o úkonu uvádí:</w:t>
      </w:r>
    </w:p>
    <w:p>
      <w:pPr>
        <w:pStyle w:val="ListBullet"/>
      </w:pPr>
      <w:r>
        <w:t>úkon, okamžik provedení, verzi aplikace a zdroj časových razítek s jeho kvalifikovaností;</w:t>
      </w:r>
    </w:p>
    <w:p>
      <w:pPr>
        <w:pStyle w:val="ListBullet"/>
      </w:pPr>
      <w:r>
        <w:t>konec platnosti certifikátu nového razítka a kryptografické parametry razítek, která úkon přidal — podpisový algoritmus, délku klíče, hašovací funkci podpisu razítka a hašovací funkci otisku dat, s upozorněním, přestane-li algoritmus být spolehlivý dřív než certifikát. Které razítko úkon přidal, se pozná podle času vzniku a otisku orazítkovaných dat: razítko, do kterého úkon jen doplnil validační data (u kontejneru ASiC to dělá i knihovna DSS), se za nové nepočítá;</w:t>
      </w:r>
    </w:p>
    <w:p>
      <w:pPr>
        <w:pStyle w:val="ListBullet"/>
      </w:pPr>
      <w:r>
        <w:t>jméno, formát a úroveň, velikost a otisk SHA-256 vstupního i výsledného souboru;</w:t>
      </w:r>
    </w:p>
    <w:p>
      <w:pPr>
        <w:pStyle w:val="ListBullet"/>
      </w:pPr>
      <w:r>
        <w:t>revokační informace rozdělené na ty, které dokument nesl už předtím, ty, které úkon přidal, a ty, které si ověření výsledku opatřilo mimo dokument;</w:t>
      </w:r>
    </w:p>
    <w:p>
      <w:pPr>
        <w:pStyle w:val="ListBullet"/>
      </w:pPr>
      <w:r>
        <w:t>stav prvků před úkonem a po něm a shodu s předpovědí.</w:t>
      </w:r>
    </w:p>
    <w:p>
      <w:r>
        <w:t xml:space="preserve">Záznam lze uložit jako protokol PDF/A (předpona </w:t>
      </w:r>
      <w:r>
        <w:rPr>
          <w:rFonts w:ascii="Consolas" w:hAnsi="Consolas"/>
          <w:sz w:val="19"/>
        </w:rPr>
        <w:t>ZU_</w:t>
      </w:r>
      <w:r>
        <w:t>), na přání opatřený časovým razítkem.</w:t>
      </w:r>
    </w:p>
    <w:p>
      <w:r>
        <w:rPr>
          <w:b/>
        </w:rPr>
        <w:t>Záznam o úkonu není důkazem o uchování.</w:t>
      </w:r>
      <w:r>
        <w:t xml:space="preserve"> Důkazem je podle TS 119 512 (3.1, F.4.5) archivní razítko v podpisu, které ověří kterýkoli validátor. Záznam je informace pro uživatele: nevydává ho služba vytvářející důvěru a k výslednému souboru ho váže jen otisk. Není ani záznamem událostí služby ve smyslu OVR-7.10-02.</w:t>
      </w:r>
    </w:p>
    <w:p>
      <w:pPr>
        <w:pStyle w:val="Heading2"/>
      </w:pPr>
      <w:r>
        <w:t>9.4 Připomínka do kalendáře</w:t>
      </w:r>
    </w:p>
    <w:p>
      <w:r>
        <w:t>Protože AnEP lhůty nehlídá sám (3.2), nabízí uložení připomínky ve formátu iCalendar s předstihem 1, 5, 10 nebo 30 dnů — v záznamu o úkonu před koncem ověřitelnosti výsledného souboru, v nabídce úkonu před koncem lhůty, je-li to konkrétní datum. Připomínka je celodenní událost a nese jméno i plnou cestu k souboru.</w:t>
      </w:r>
    </w:p>
    <w:p>
      <w:pPr>
        <w:pStyle w:val="Heading1"/>
        <w:pBdr>
          <w:bottom w:val="single" w:sz="8" w:space="4" w:color="4D8A19"/>
        </w:pBdr>
      </w:pPr>
      <w:r>
        <w:t>10 Co úkon nezaručuje</w:t>
      </w:r>
    </w:p>
    <w:p>
      <w:pPr>
        <w:pStyle w:val="ListBullet"/>
      </w:pPr>
      <w:r>
        <w:t>Úkon nezaručuje, že výsledek uzná jiný ověřovatel. Ověřovatelé mohou uplatňovat jiná pravidla, jinou kryptografickou sadu nebo jinou zásobu revokačních informací; aplikace jejich verzi ani nastavení nezná.</w:t>
      </w:r>
    </w:p>
    <w:p>
      <w:pPr>
        <w:pStyle w:val="ListBullet"/>
      </w:pPr>
      <w:r>
        <w:t>Úkon nechrání před vyřazením služby z důvěryhodných seznamů, před budoucími kryptografickými omezeními ani před tím, že uživatel úkon před koncem lhůty nezopakuje.</w:t>
      </w:r>
    </w:p>
    <w:p>
      <w:pPr>
        <w:pStyle w:val="ListBullet"/>
      </w:pPr>
      <w:r>
        <w:t>Úkon nenapraví, co je na prvku sporné dnes.</w:t>
      </w:r>
    </w:p>
    <w:p>
      <w:pPr>
        <w:pStyle w:val="ListBullet"/>
      </w:pPr>
      <w:r>
        <w:t>AnEP není kvalifikovaná služba uchovávání ve smyslu čl. 34 nařízení eIDAS (TS 119 511, příloha A) a jeho výstup nemá právní účinky jejího výstupu.</w:t>
      </w:r>
    </w:p>
    <w:p>
      <w:pPr>
        <w:pStyle w:val="Heading1"/>
        <w:pBdr>
          <w:bottom w:val="single" w:sz="8" w:space="4" w:color="4D8A19"/>
        </w:pBdr>
      </w:pPr>
      <w:r>
        <w:t>11 Vztah k ETSI TS 119 511 a TS 119 512</w:t>
      </w:r>
    </w:p>
    <w:p>
      <w:r>
        <w:t>Tabulka uvádí, jak AnEP naplňuje požadavky TS 119 511.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313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Požadavky</w:t>
            </w:r>
          </w:p>
        </w:tc>
        <w:tc>
          <w:tcPr>
            <w:tcW w:type="dxa" w:w="5098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Naplnění v AnEP</w:t>
            </w:r>
          </w:p>
        </w:tc>
      </w:tr>
      <w:tr>
        <w:trPr>
          <w:cantSplit/>
        </w:trPr>
        <w:tc>
          <w:tcPr>
            <w:tcW w:type="dxa" w:w="4313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kap. 5; 6.1–6.3; 6.7; 7.1–7.13; 7.16; příloha A</w:t>
            </w:r>
          </w:p>
        </w:tc>
        <w:tc>
          <w:tcPr>
            <w:tcW w:type="dxa" w:w="5098"/>
            <w:vAlign w:val="top"/>
          </w:tcPr>
          <w:p>
            <w:pPr>
              <w:spacing w:after="0"/>
            </w:pPr>
            <w:r>
              <w:rPr>
                <w:sz w:val="19"/>
              </w:rPr>
              <w:t>nemají předmět — provoz, organizace, smlouvy a bezpečnost poskytovatele</w:t>
            </w:r>
          </w:p>
        </w:tc>
      </w:tr>
      <w:tr>
        <w:trPr>
          <w:cantSplit/>
        </w:trPr>
        <w:tc>
          <w:tcPr>
            <w:tcW w:type="dxa" w:w="4313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8.1, 8.2 (protokoly); OVR-6.4-09, 6.4-10 (profily on-line)</w:t>
            </w:r>
          </w:p>
        </w:tc>
        <w:tc>
          <w:tcPr>
            <w:tcW w:type="dxa" w:w="5098"/>
            <w:vAlign w:val="top"/>
          </w:tcPr>
          <w:p>
            <w:pPr>
              <w:spacing w:after="0"/>
            </w:pPr>
            <w:r>
              <w:rPr>
                <w:sz w:val="19"/>
              </w:rPr>
              <w:t>nemají předmět — AnEP není služba s rozhraním; profily popisuje tato politika (3.3)</w:t>
            </w:r>
          </w:p>
        </w:tc>
      </w:tr>
      <w:tr>
        <w:trPr>
          <w:cantSplit/>
        </w:trPr>
        <w:tc>
          <w:tcPr>
            <w:tcW w:type="dxa" w:w="4313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OVR-6.4-01, 6.4-02, 6.4-04, 6.4-13, 6.4-14</w:t>
            </w:r>
          </w:p>
        </w:tc>
        <w:tc>
          <w:tcPr>
            <w:tcW w:type="dxa" w:w="5098"/>
            <w:vAlign w:val="top"/>
          </w:tcPr>
          <w:p>
            <w:pPr>
              <w:spacing w:after="0"/>
            </w:pPr>
            <w:r>
              <w:rPr>
                <w:sz w:val="19"/>
              </w:rPr>
              <w:t>splněno popisem profilů (3.3) a veřejnými verzemi politiky</w:t>
            </w:r>
          </w:p>
        </w:tc>
      </w:tr>
      <w:tr>
        <w:trPr>
          <w:cantSplit/>
        </w:trPr>
        <w:tc>
          <w:tcPr>
            <w:tcW w:type="dxa" w:w="4313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OVR-6.4-03</w:t>
            </w:r>
          </w:p>
        </w:tc>
        <w:tc>
          <w:tcPr>
            <w:tcW w:type="dxa" w:w="5098"/>
            <w:vAlign w:val="top"/>
          </w:tcPr>
          <w:p>
            <w:pPr>
              <w:spacing w:after="0"/>
            </w:pPr>
            <w:r>
              <w:rPr>
                <w:sz w:val="19"/>
              </w:rPr>
              <w:t>nesplněno — profily nemají vlastní identifikátor (3.3)</w:t>
            </w:r>
          </w:p>
        </w:tc>
      </w:tr>
      <w:tr>
        <w:trPr>
          <w:cantSplit/>
        </w:trPr>
        <w:tc>
          <w:tcPr>
            <w:tcW w:type="dxa" w:w="4313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OVR-6.4-06</w:t>
            </w:r>
          </w:p>
        </w:tc>
        <w:tc>
          <w:tcPr>
            <w:tcW w:type="dxa" w:w="5098"/>
            <w:vAlign w:val="top"/>
          </w:tcPr>
          <w:p>
            <w:pPr>
              <w:spacing w:after="0"/>
            </w:pPr>
            <w:r>
              <w:rPr>
                <w:sz w:val="19"/>
              </w:rPr>
              <w:t>splněno — očekávaná doba trvání důkazu ve jménu souboru a v záznamu (5.3)</w:t>
            </w:r>
          </w:p>
        </w:tc>
      </w:tr>
      <w:tr>
        <w:trPr>
          <w:cantSplit/>
        </w:trPr>
        <w:tc>
          <w:tcPr>
            <w:tcW w:type="dxa" w:w="4313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OVR-6.4-07, 6.4-08; 7.14</w:t>
            </w:r>
          </w:p>
        </w:tc>
        <w:tc>
          <w:tcPr>
            <w:tcW w:type="dxa" w:w="5098"/>
            <w:vAlign w:val="top"/>
          </w:tcPr>
          <w:p>
            <w:pPr>
              <w:spacing w:after="0"/>
            </w:pPr>
            <w:r>
              <w:rPr>
                <w:sz w:val="19"/>
              </w:rPr>
              <w:t>nesplněno záměrně — datum nezohledňuje kryptografii a nic se nesleduje; náhradou je upozornění na slabý klíč (5.3)</w:t>
            </w:r>
          </w:p>
        </w:tc>
      </w:tr>
      <w:tr>
        <w:trPr>
          <w:cantSplit/>
        </w:trPr>
        <w:tc>
          <w:tcPr>
            <w:tcW w:type="dxa" w:w="4313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OVR-6.5-01 až 6.5-06, 6.5-08</w:t>
            </w:r>
          </w:p>
        </w:tc>
        <w:tc>
          <w:tcPr>
            <w:tcW w:type="dxa" w:w="5098"/>
            <w:vAlign w:val="top"/>
          </w:tcPr>
          <w:p>
            <w:pPr>
              <w:spacing w:after="0"/>
            </w:pPr>
            <w:r>
              <w:rPr>
                <w:sz w:val="19"/>
              </w:rPr>
              <w:t>splněno v kapitole 8</w:t>
            </w:r>
          </w:p>
        </w:tc>
      </w:tr>
      <w:tr>
        <w:trPr>
          <w:cantSplit/>
        </w:trPr>
        <w:tc>
          <w:tcPr>
            <w:tcW w:type="dxa" w:w="4313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OVR-6.5-09</w:t>
            </w:r>
          </w:p>
        </w:tc>
        <w:tc>
          <w:tcPr>
            <w:tcW w:type="dxa" w:w="5098"/>
            <w:vAlign w:val="top"/>
          </w:tcPr>
          <w:p>
            <w:pPr>
              <w:spacing w:after="0"/>
            </w:pPr>
            <w:r>
              <w:rPr>
                <w:sz w:val="19"/>
              </w:rPr>
              <w:t>splněno — důkaz údaj o politice nenese a politika to uvádí (8.4)</w:t>
            </w:r>
          </w:p>
        </w:tc>
      </w:tr>
      <w:tr>
        <w:trPr>
          <w:cantSplit/>
        </w:trPr>
        <w:tc>
          <w:tcPr>
            <w:tcW w:type="dxa" w:w="4313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6.6</w:t>
            </w:r>
          </w:p>
        </w:tc>
        <w:tc>
          <w:tcPr>
            <w:tcW w:type="dxa" w:w="5098"/>
            <w:vAlign w:val="top"/>
          </w:tcPr>
          <w:p>
            <w:pPr>
              <w:spacing w:after="0"/>
            </w:pPr>
            <w:r>
              <w:rPr>
                <w:sz w:val="19"/>
              </w:rPr>
              <w:t>politika ověřování AnEP</w:t>
            </w:r>
          </w:p>
        </w:tc>
      </w:tr>
      <w:tr>
        <w:trPr>
          <w:cantSplit/>
        </w:trPr>
        <w:tc>
          <w:tcPr>
            <w:tcW w:type="dxa" w:w="4313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OVR-7.5-02, 7.5-03; 9.2-01, 9.2-02</w:t>
            </w:r>
          </w:p>
        </w:tc>
        <w:tc>
          <w:tcPr>
            <w:tcW w:type="dxa" w:w="5098"/>
            <w:vAlign w:val="top"/>
          </w:tcPr>
          <w:p>
            <w:pPr>
              <w:spacing w:after="0"/>
            </w:pPr>
            <w:r>
              <w:rPr>
                <w:sz w:val="19"/>
              </w:rPr>
              <w:t>částečně — protokol RFC 3161 ano, soulad autority s EN 319 421 a 319 422 se neověřuje (4.2)</w:t>
            </w:r>
          </w:p>
        </w:tc>
      </w:tr>
      <w:tr>
        <w:trPr>
          <w:cantSplit/>
        </w:trPr>
        <w:tc>
          <w:tcPr>
            <w:tcW w:type="dxa" w:w="4313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7.15</w:t>
            </w:r>
          </w:p>
        </w:tc>
        <w:tc>
          <w:tcPr>
            <w:tcW w:type="dxa" w:w="5098"/>
            <w:vAlign w:val="top"/>
          </w:tcPr>
          <w:p>
            <w:pPr>
              <w:spacing w:after="0"/>
            </w:pPr>
            <w:r>
              <w:rPr>
                <w:sz w:val="19"/>
              </w:rPr>
              <w:t>netýká se — požadavek platí jen pro modely s ukládáním</w:t>
            </w:r>
          </w:p>
        </w:tc>
      </w:tr>
      <w:tr>
        <w:trPr>
          <w:cantSplit/>
        </w:trPr>
        <w:tc>
          <w:tcPr>
            <w:tcW w:type="dxa" w:w="4313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OVR-9.1-01</w:t>
            </w:r>
          </w:p>
        </w:tc>
        <w:tc>
          <w:tcPr>
            <w:tcW w:type="dxa" w:w="5098"/>
            <w:vAlign w:val="top"/>
          </w:tcPr>
          <w:p>
            <w:pPr>
              <w:spacing w:after="0"/>
            </w:pPr>
            <w:r>
              <w:rPr>
                <w:sz w:val="19"/>
              </w:rPr>
              <w:t>splněno — obsah dokumentů se neukládá (4.3)</w:t>
            </w:r>
          </w:p>
        </w:tc>
      </w:tr>
      <w:tr>
        <w:trPr>
          <w:cantSplit/>
        </w:trPr>
        <w:tc>
          <w:tcPr>
            <w:tcW w:type="dxa" w:w="4313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OVR-9.2-04, 9.2-05</w:t>
            </w:r>
          </w:p>
        </w:tc>
        <w:tc>
          <w:tcPr>
            <w:tcW w:type="dxa" w:w="5098"/>
            <w:vAlign w:val="top"/>
          </w:tcPr>
          <w:p>
            <w:pPr>
              <w:spacing w:after="0"/>
            </w:pPr>
            <w:r>
              <w:rPr>
                <w:sz w:val="19"/>
              </w:rPr>
              <w:t>nesplněno — politika se do důkazu nevkládá (8.4)</w:t>
            </w:r>
          </w:p>
        </w:tc>
      </w:tr>
      <w:tr>
        <w:trPr>
          <w:cantSplit/>
        </w:trPr>
        <w:tc>
          <w:tcPr>
            <w:tcW w:type="dxa" w:w="4313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OVR-9.3-01 až 9.3-03</w:t>
            </w:r>
          </w:p>
        </w:tc>
        <w:tc>
          <w:tcPr>
            <w:tcW w:type="dxa" w:w="5098"/>
            <w:vAlign w:val="top"/>
          </w:tcPr>
          <w:p>
            <w:pPr>
              <w:spacing w:after="0"/>
            </w:pPr>
            <w:r>
              <w:rPr>
                <w:sz w:val="19"/>
              </w:rPr>
              <w:t>splněno u uchování; u přerazítkování s výhradou chybějících dat (6.4)</w:t>
            </w:r>
          </w:p>
        </w:tc>
      </w:tr>
      <w:tr>
        <w:trPr>
          <w:cantSplit/>
        </w:trPr>
        <w:tc>
          <w:tcPr>
            <w:tcW w:type="dxa" w:w="4313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OVR-9.3-04 až 9.3-08</w:t>
            </w:r>
          </w:p>
        </w:tc>
        <w:tc>
          <w:tcPr>
            <w:tcW w:type="dxa" w:w="5098"/>
            <w:vAlign w:val="top"/>
          </w:tcPr>
          <w:p>
            <w:pPr>
              <w:spacing w:after="0"/>
            </w:pPr>
            <w:r>
              <w:rPr>
                <w:sz w:val="19"/>
              </w:rPr>
              <w:t>netýká se — kombinace PDS+PGD ani předávání jen otisku se nenabízejí</w:t>
            </w:r>
          </w:p>
        </w:tc>
      </w:tr>
    </w:tbl>
    <w:p>
      <w:pPr>
        <w:spacing w:after="80"/>
      </w:pPr>
    </w:p>
    <w:p>
      <w:r>
        <w:t>Z TS 119 512 AnEP odpovídá schématu F.4 se dvěma odchylkami uvedenými v 3.2. Protokol podle kapitoly 5 normy (operace PreservePO a další) předmět nemá.</w:t>
      </w:r>
    </w:p>
    <w:p>
      <w:pPr>
        <w:pStyle w:val="Heading1"/>
        <w:pBdr>
          <w:bottom w:val="single" w:sz="8" w:space="4" w:color="4D8A19"/>
        </w:pBdr>
      </w:pPr>
      <w:r>
        <w:t>12 Změny politiky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V w:val="nil"/>
          <w:insideH w:val="single" w:sz="4" w:space="0" w:color="D3DBCB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361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Verze</w:t>
            </w:r>
          </w:p>
        </w:tc>
        <w:tc>
          <w:tcPr>
            <w:tcW w:type="dxa" w:w="1930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Datum</w:t>
            </w:r>
          </w:p>
        </w:tc>
        <w:tc>
          <w:tcPr>
            <w:tcW w:type="dxa" w:w="6120"/>
            <w:tcBorders>
              <w:bottom w:val="single" w:sz="8" w:space="0" w:color="4D8A19"/>
            </w:tcBorders>
            <w:shd w:val="clear" w:color="auto" w:fill="EEF2E9"/>
          </w:tcPr>
          <w:p>
            <w:pPr>
              <w:spacing w:after="0"/>
            </w:pPr>
            <w:r>
              <w:rPr>
                <w:b/>
                <w:color w:val="3A6A12"/>
                <w:sz w:val="19"/>
              </w:rPr>
              <w:t>Změna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1.1</w:t>
            </w:r>
          </w:p>
        </w:tc>
        <w:tc>
          <w:tcPr>
            <w:tcW w:type="dxa" w:w="1930"/>
            <w:vAlign w:val="top"/>
          </w:tcPr>
          <w:p>
            <w:pPr>
              <w:spacing w:after="0"/>
            </w:pPr>
            <w:r>
              <w:rPr>
                <w:sz w:val="19"/>
              </w:rPr>
              <w:t>5. 10. 2026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>
              <w:rPr>
                <w:sz w:val="19"/>
              </w:rPr>
              <w:t>první vydání, spolu s verzí 1.1 politiky ověřování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1.2</w:t>
            </w:r>
          </w:p>
        </w:tc>
        <w:tc>
          <w:tcPr>
            <w:tcW w:type="dxa" w:w="1930"/>
            <w:vAlign w:val="top"/>
          </w:tcPr>
          <w:p>
            <w:pPr>
              <w:spacing w:after="0"/>
            </w:pPr>
            <w:r>
              <w:rPr>
                <w:sz w:val="19"/>
              </w:rPr>
              <w:t>8. 10. 2026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>
              <w:rPr>
                <w:sz w:val="19"/>
              </w:rPr>
              <w:t>beze změny obsahu; číslo verze a stav aplikace sjednocené s verzí 1.2 politiky ověřování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1.3</w:t>
            </w:r>
          </w:p>
        </w:tc>
        <w:tc>
          <w:tcPr>
            <w:tcW w:type="dxa" w:w="1930"/>
            <w:vAlign w:val="top"/>
          </w:tcPr>
          <w:p>
            <w:pPr>
              <w:spacing w:after="0"/>
            </w:pPr>
            <w:r>
              <w:rPr>
                <w:sz w:val="19"/>
              </w:rPr>
              <w:t>8. 10. 2026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>
              <w:rPr>
                <w:sz w:val="19"/>
              </w:rPr>
              <w:t>beze změny obsahu; číslo verze a stav aplikace sjednocené s verzí 1.3 politiky ověřování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1.4</w:t>
            </w:r>
          </w:p>
        </w:tc>
        <w:tc>
          <w:tcPr>
            <w:tcW w:type="dxa" w:w="1930"/>
            <w:vAlign w:val="top"/>
          </w:tcPr>
          <w:p>
            <w:pPr>
              <w:spacing w:after="0"/>
            </w:pPr>
            <w:r>
              <w:rPr>
                <w:sz w:val="19"/>
              </w:rPr>
              <w:t>9. 10. 2026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>
              <w:rPr>
                <w:sz w:val="19"/>
              </w:rPr>
              <w:t>beze změny obsahu; číslo verze a stav aplikace sjednocené s verzí 1.4 politiky ověřování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1.5</w:t>
            </w:r>
          </w:p>
        </w:tc>
        <w:tc>
          <w:tcPr>
            <w:tcW w:type="dxa" w:w="1930"/>
            <w:vAlign w:val="top"/>
          </w:tcPr>
          <w:p>
            <w:pPr>
              <w:spacing w:after="0"/>
            </w:pPr>
            <w:r>
              <w:rPr>
                <w:sz w:val="19"/>
              </w:rPr>
              <w:t>13. 10. 2026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>
              <w:rPr>
                <w:sz w:val="19"/>
              </w:rPr>
              <w:t>oddíl 6.3: poškozené časové razítko, které o závěru ověření nerozhoduje, uchování nebrání; oddíl 4.2: kvalifikovanost zdroje razítek zadaného před jejím měřením se doplní z ověření výsledku prvního úkonu; oddíl 9.3: razítka přidaná úkonem se poznají podle času vzniku a otisku dat; spolu s verzí 1.5 politiky ověřování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1.6</w:t>
            </w:r>
          </w:p>
        </w:tc>
        <w:tc>
          <w:tcPr>
            <w:tcW w:type="dxa" w:w="1930"/>
            <w:vAlign w:val="top"/>
          </w:tcPr>
          <w:p>
            <w:pPr>
              <w:spacing w:after="0"/>
            </w:pPr>
            <w:r>
              <w:rPr>
                <w:sz w:val="19"/>
              </w:rPr>
              <w:t>13. 10. 2026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>
              <w:rPr>
                <w:sz w:val="19"/>
              </w:rPr>
              <w:t>beze změny obsahu; číslo verze a stav aplikace sjednocené s verzí 1.6 politiky ověřování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  <w:sz w:val="19"/>
              </w:rPr>
              <w:t>1.7</w:t>
            </w:r>
          </w:p>
        </w:tc>
        <w:tc>
          <w:tcPr>
            <w:tcW w:type="dxa" w:w="1930"/>
            <w:vAlign w:val="top"/>
          </w:tcPr>
          <w:p>
            <w:pPr>
              <w:spacing w:after="0"/>
            </w:pPr>
            <w:r>
              <w:rPr>
                <w:sz w:val="19"/>
              </w:rPr>
              <w:t>17. 10. 2026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>
              <w:rPr>
                <w:sz w:val="19"/>
              </w:rPr>
              <w:t>beze změny obsahu; číslo verze a stav aplikace sjednocené s verzí 1.7 politiky ověřování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  <w:sz w:val="19"/>
                <w:highlight w:val="yellow"/>
              </w:rPr>
              <w:t>1.8</w:t>
            </w:r>
          </w:p>
        </w:tc>
        <w:tc>
          <w:tcPr>
            <w:tcW w:type="dxa" w:w="1930"/>
            <w:vAlign w:val="top"/>
          </w:tcPr>
          <w:p>
            <w:pPr>
              <w:spacing w:after="0"/>
            </w:pPr>
            <w:r>
              <w:rPr>
                <w:sz w:val="19"/>
                <w:highlight w:val="yellow"/>
              </w:rPr>
              <w:t>17. 10. 2026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>
              <w:rPr>
                <w:sz w:val="19"/>
                <w:highlight w:val="yellow"/>
              </w:rPr>
              <w:t>oddíly 6.2 a 6.4: přerazítkování (a uchování u prvku s volnějším čtením) vkládá jen revokační údaje, které o certifikátu něco vypovídají — odpověď „nerevokován“ vydaná po expiraci bez závazku vydavatele se nevkládá, s odůvodněním ze standardů a z měření; oddíl 8.1: upozornění před úkonem u dokumentu s certifikačním podpisem bez povolených změn (DocMDP P=1); spolu s verzí 1.8 politiky ověřování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  <w:sz w:val="19"/>
                <w:highlight w:val="yellow"/>
              </w:rPr>
              <w:t>1.9</w:t>
            </w:r>
          </w:p>
        </w:tc>
        <w:tc>
          <w:tcPr>
            <w:tcW w:type="dxa" w:w="1930"/>
            <w:vAlign w:val="top"/>
          </w:tcPr>
          <w:p>
            <w:pPr>
              <w:spacing w:after="0"/>
            </w:pPr>
            <w:r>
              <w:rPr>
                <w:sz w:val="19"/>
                <w:highlight w:val="yellow"/>
              </w:rPr>
              <w:t>17. 10. 2026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>
              <w:rPr>
                <w:sz w:val="19"/>
                <w:highlight w:val="yellow"/>
              </w:rPr>
              <w:t>oddíl 6.5: prodloužení doplní revokační informace a certifikáty stejně jako uchování, post-expirační údaje bez závazku vydavatele nevkládá a údaj o certifikátu přidaného razítka ještě nenese; oddíl 6.4: pravidlo pro údaje u prvku s volnějším čtením platí i pro prodloužení; spolu s verzí 1.9 politiky ověřování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  <w:r>
      <w:rPr>
        <w:color w:val="5A6355"/>
        <w:sz w:val="17"/>
      </w:rPr>
      <w:t>AnEP — politika uchovávání elektronických podpisů</w:t>
    </w:r>
    <w:r>
      <w:tab/>
    </w:r>
    <w:r>
      <w:rPr>
        <w:color w:val="5A6355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before="0" w:lineRule="auto" w:line="276"/>
    </w:pPr>
    <w:rPr>
      <w:rFonts w:ascii="Segoe UI" w:hAnsi="Segoe UI" w:cs="Segoe UI" w:eastAsia="Segoe UI"/>
      <w:color w:val="1F2419"/>
      <w:sz w:val="21"/>
      <w:lang w:val="cs-C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9411" w:val="right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80"/>
      <w:outlineLvl w:val="0"/>
    </w:pPr>
    <w:rPr>
      <w:rFonts w:ascii="Segoe UI" w:hAnsi="Segoe UI" w:cs="Segoe UI" w:eastAsia="Segoe UI"/>
      <w:b/>
      <w:bCs/>
      <w:color w:val="3A6A12"/>
      <w:sz w:val="34"/>
      <w:szCs w:val="28"/>
      <w:lang w:val="cs-CZ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="Segoe UI" w:hAnsi="Segoe UI" w:cs="Segoe UI" w:eastAsia="Segoe UI"/>
      <w:b/>
      <w:bCs/>
      <w:color w:val="1F2419"/>
      <w:sz w:val="25"/>
      <w:szCs w:val="26"/>
      <w:lang w:val="cs-CZ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Segoe UI" w:hAnsi="Segoe UI" w:cs="Segoe UI" w:eastAsia="Segoe UI"/>
      <w:b/>
      <w:bCs/>
      <w:i w:val="0"/>
      <w:color w:val="3A6A12"/>
      <w:sz w:val="21"/>
      <w:lang w:val="cs-CZ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Segoe UI" w:hAnsi="Segoe UI" w:cs="Segoe UI" w:eastAsia="Segoe UI"/>
      <w:color w:val="1F2419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Segoe UI" w:hAnsi="Segoe UI" w:cs="Segoe UI" w:eastAsia="Segoe UI"/>
      <w:color w:val="1F2419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240"/>
    </w:pPr>
    <w:rPr>
      <w:rFonts w:ascii="Segoe UI" w:hAnsi="Segoe UI" w:cs="Segoe UI" w:eastAsia="Segoe UI"/>
      <w:b w:val="0"/>
      <w:bCs/>
      <w:i w:val="0"/>
      <w:color w:val="5A6355"/>
      <w:sz w:val="17"/>
      <w:szCs w:val="18"/>
      <w:lang w:val="cs-CZ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