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r>
        <w:t>Brightpath Solutions - Effective date: 1 July 2026. Owner: People Operations.</w:t>
      </w:r>
    </w:p>
    <w:p>
      <w:pPr>
        <w:pStyle w:val="Heading1"/>
      </w:pPr>
      <w:r>
        <w:t>Eligibility</w:t>
      </w:r>
    </w:p>
    <w:p>
      <w:r>
        <w:t>Employees who have completed their probation period are eligible for hybrid remote work.</w:t>
      </w:r>
    </w:p>
    <w:p>
      <w:r>
        <w:t>Employees may work remotely up to 2 days per week. Team anchor days (Tuesday and Thursday) are in the office.</w:t>
      </w:r>
    </w:p>
    <w:p>
      <w:pPr>
        <w:pStyle w:val="Heading1"/>
      </w:pPr>
      <w:r>
        <w:t>Approval Process</w:t>
      </w:r>
    </w:p>
    <w:p>
      <w:r>
        <w:t>Submit a remote work request in the HR portal.</w:t>
      </w:r>
    </w:p>
    <w:p>
      <w:r>
        <w:t>Your line manager approves or rejects the request within 5 business days.</w:t>
      </w:r>
    </w:p>
    <w:p>
      <w:r>
        <w:t>Fully remote arrangements require approval from the department head and People Operations.</w:t>
      </w:r>
    </w:p>
    <w:p>
      <w:pPr>
        <w:pStyle w:val="Heading1"/>
      </w:pPr>
      <w:r>
        <w:t>Equipment and Stipend</w:t>
      </w:r>
    </w:p>
    <w:p>
      <w:r>
        <w:t>Remote-eligible employees receive a one-time home office stipend of $500.</w:t>
      </w:r>
    </w:p>
    <w:p>
      <w:r>
        <w:t>Company laptops must be used for all work. Personal devices may not store company data.</w:t>
      </w:r>
    </w:p>
    <w:p>
      <w:pPr>
        <w:pStyle w:val="Heading1"/>
      </w:pPr>
      <w:r>
        <w:t>Security Requirements</w:t>
      </w:r>
    </w:p>
    <w:p>
      <w:r>
        <w:t>Always connect through the company VPN. Do not work from public Wi-Fi without the VPN.</w:t>
      </w:r>
    </w:p>
    <w:p>
      <w:r>
        <w:t>Lock your screen whenever you step away from your device.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