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Procedure</w:t>
      </w:r>
    </w:p>
    <w:p>
      <w:r>
        <w:t>Brightpath Solutions Procurement. Applies to all purchases of goods and services.</w:t>
      </w:r>
    </w:p>
    <w:p>
      <w:pPr>
        <w:pStyle w:val="Heading1"/>
      </w:pPr>
      <w:r>
        <w:t>1. Vendor Selection</w:t>
      </w:r>
    </w:p>
    <w:p>
      <w:r>
        <w:t>For purchases over $10,000, obtain at least three written quotes from different vendors.</w:t>
      </w:r>
    </w:p>
    <w:p>
      <w:r>
        <w:t>Purchases under $10,000 require one quote and line manager approval.</w:t>
      </w:r>
    </w:p>
    <w:p>
      <w:pPr>
        <w:pStyle w:val="Heading1"/>
      </w:pPr>
      <w:r>
        <w:t>2. Vendor Onboarding</w:t>
      </w:r>
    </w:p>
    <w:p>
      <w:r>
        <w:t>Request the vendor's W-9 or tax registration and banking details through the Procurement portal.</w:t>
      </w:r>
    </w:p>
    <w:p>
      <w:r>
        <w:t>Vendors that process company or customer data must pass an Information Security review before contract signature.</w:t>
      </w:r>
    </w:p>
    <w:p>
      <w:r>
        <w:t>Legal reviews all contracts with a value above $25,000.</w:t>
      </w:r>
    </w:p>
    <w:p>
      <w:pPr>
        <w:pStyle w:val="Heading1"/>
      </w:pPr>
      <w:r>
        <w:t>3. Performance Reviews</w:t>
      </w:r>
    </w:p>
    <w:p>
      <w:r>
        <w:t>Strategic vendors are reviewed quarterly against agreed service levels.</w:t>
      </w:r>
    </w:p>
    <w:p>
      <w:r>
        <w:t>Underperforming vendors are placed on a 60-day improvement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Purchase value</w:t>
            </w:r>
          </w:p>
        </w:tc>
        <w:tc>
          <w:tcPr>
            <w:tcW w:type="dxa" w:w="2880"/>
          </w:tcPr>
          <w:p>
            <w:r>
              <w:t>Quotes required</w:t>
            </w:r>
          </w:p>
        </w:tc>
        <w:tc>
          <w:tcPr>
            <w:tcW w:type="dxa" w:w="2880"/>
          </w:tcPr>
          <w:p>
            <w:r>
              <w:t>Approver</w:t>
            </w:r>
          </w:p>
        </w:tc>
      </w:tr>
      <w:tr>
        <w:tc>
          <w:tcPr>
            <w:tcW w:type="dxa" w:w="2880"/>
          </w:tcPr>
          <w:p>
            <w:r>
              <w:t>Under $10,000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Line manager</w:t>
            </w:r>
          </w:p>
        </w:tc>
      </w:tr>
      <w:tr>
        <w:tc>
          <w:tcPr>
            <w:tcW w:type="dxa" w:w="2880"/>
          </w:tcPr>
          <w:p>
            <w:r>
              <w:t>$10,000 - $50,000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Department head</w:t>
            </w:r>
          </w:p>
        </w:tc>
      </w:tr>
      <w:tr>
        <w:tc>
          <w:tcPr>
            <w:tcW w:type="dxa" w:w="2880"/>
          </w:tcPr>
          <w:p>
            <w:r>
              <w:t>Over $50,000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CFO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