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  <w:r>
        <w:t xml:space="preserve"> </w:t>
      </w:r>
      <w:r>
        <w:t xml:space="preserve">Final</w:t>
      </w:r>
    </w:p>
    <w:bookmarkStart w:id="20" w:name="estudiantes"/>
    <w:p>
      <w:pPr>
        <w:pStyle w:val="Heading2"/>
      </w:pPr>
      <w:r>
        <w:t xml:space="preserve">Estudiantes</w:t>
      </w:r>
    </w:p>
    <w:p>
      <w:pPr>
        <w:pStyle w:val="FirstParagraph"/>
      </w:pPr>
      <w:r>
        <w:t xml:space="preserve">Luis Fernando Marin Guzman</w:t>
      </w:r>
    </w:p>
    <w:p>
      <w:pPr>
        <w:pStyle w:val="BodyText"/>
      </w:pPr>
      <w:r>
        <w:t xml:space="preserve">Jairo Steven Prado Abarca</w:t>
      </w:r>
    </w:p>
    <w:p>
      <w:pPr>
        <w:pStyle w:val="BodyText"/>
      </w:pPr>
      <w:r>
        <w:t xml:space="preserve">Bayron Josue Roman Madriz</w:t>
      </w:r>
    </w:p>
    <w:p>
      <w:pPr>
        <w:pStyle w:val="BodyText"/>
      </w:pPr>
      <w:r>
        <w:t xml:space="preserve">Johan Esteban Sanabria Redondo</w:t>
      </w:r>
    </w:p>
    <w:bookmarkEnd w:id="20"/>
    <w:bookmarkStart w:id="21" w:name="informe-automatizado"/>
    <w:p>
      <w:pPr>
        <w:pStyle w:val="Heading2"/>
      </w:pPr>
      <w:r>
        <w:t xml:space="preserve">Informe automatizado</w:t>
      </w:r>
    </w:p>
    <w:bookmarkEnd w:id="21"/>
    <w:bookmarkStart w:id="22" w:name="parametros-de-cambio"/>
    <w:p>
      <w:pPr>
        <w:pStyle w:val="Heading2"/>
      </w:pPr>
      <w:r>
        <w:t xml:space="preserve">Parametros de cambio</w:t>
      </w:r>
    </w:p>
    <w:bookmarkEnd w:id="22"/>
    <w:bookmarkStart w:id="50" w:name="cálculos-de-análisis"/>
    <w:p>
      <w:pPr>
        <w:pStyle w:val="Heading1"/>
      </w:pPr>
      <w:r>
        <w:t xml:space="preserve">Cálculos de Análisis</w:t>
      </w:r>
    </w:p>
    <w:bookmarkStart w:id="26" w:name="análisis-global"/>
    <w:p>
      <w:pPr>
        <w:pStyle w:val="Heading2"/>
      </w:pPr>
      <w:r>
        <w:t xml:space="preserve">1.Análisis Global</w:t>
      </w:r>
    </w:p>
    <w:bookmarkStart w:id="23" w:name="análisis-acumulado-anual-por-año-global"/>
    <w:p>
      <w:pPr>
        <w:pStyle w:val="Heading4"/>
      </w:pPr>
      <w:r>
        <w:t xml:space="preserve">1.1 Análisis acumulado anual por año Global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66"/>
        <w:gridCol w:w="1463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Ventas_totales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195,476.8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199,827.9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2.23%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186,777.9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-13,049.99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-6.53%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189,098.0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1.24%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170,391.4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-18,706.56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-9.89%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201,780.5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31,389.13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18.42%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192,002.9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-9,777.67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-4.85%</w:t>
            </w:r>
          </w:p>
        </w:tc>
      </w:tr>
    </w:tbl>
    <w:p>
      <w:pPr>
        <w:pStyle w:val="FirstParagraph"/>
      </w:pPr>
      <w:r>
        <w:t xml:space="preserve">Comparando las ventas del año 2025 con respecto al año anterior 2024 hubo decrecimiento.</w:t>
      </w:r>
    </w:p>
    <w:bookmarkEnd w:id="23"/>
    <w:bookmarkStart w:id="24" w:name="X8f31edac0afb7068a72e0fc0a875ddec77f675e"/>
    <w:p>
      <w:pPr>
        <w:pStyle w:val="Heading4"/>
      </w:pPr>
      <w:r>
        <w:t xml:space="preserve">1.2 Comparación intermensual (Mes actual vs mes anterior)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022"/>
        <w:gridCol w:w="961"/>
        <w:gridCol w:w="1389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9,115.23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20,439.79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11,324.56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124.24%</w:t>
            </w:r>
          </w:p>
        </w:tc>
      </w:tr>
    </w:tbl>
    <w:p>
      <w:pPr>
        <w:pStyle w:val="FirstParagraph"/>
      </w:pPr>
      <w:r>
        <w:t xml:space="preserve">En el mes de Abril del año 2025 las ventas fueron de 20,439.79, y las ventas tuvieron un crecimiento de 1.132456</w:t>
      </w:r>
      <w:r>
        <w:t xml:space="preserve">^{4} dólares con respecto al mes anterior</w:t>
      </w:r>
    </w:p>
    <w:bookmarkEnd w:id="24"/>
    <w:bookmarkStart w:id="25" w:name="Xd569f264019617904a0b5d1533b160c114c6506"/>
    <w:p>
      <w:pPr>
        <w:pStyle w:val="Heading4"/>
      </w:pPr>
      <w:r>
        <w:t xml:space="preserve">1.3 Comparación interanual mismo mes vs mismo mes del año anterior)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851"/>
        <w:gridCol w:w="961"/>
        <w:gridCol w:w="1340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23,299.31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20,439.79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-2,859.52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-12.27%</w:t>
            </w:r>
          </w:p>
        </w:tc>
      </w:tr>
    </w:tbl>
    <w:p>
      <w:pPr>
        <w:pStyle w:val="FirstParagraph"/>
      </w:pPr>
      <w:r>
        <w:t xml:space="preserve">En el mes de Abril del año 2025 las ventas fueron de 20,439.79 dólares, y las ventas tuvieron un decrecimiento de -12.27% con respecto al mes del año anterior.</w:t>
      </w:r>
    </w:p>
    <w:bookmarkEnd w:id="25"/>
    <w:bookmarkEnd w:id="26"/>
    <w:bookmarkStart w:id="36" w:name="análisis-por-dimensión"/>
    <w:p>
      <w:pPr>
        <w:pStyle w:val="Heading2"/>
      </w:pPr>
      <w:r>
        <w:t xml:space="preserve">2.Análisis por Dimensión</w:t>
      </w:r>
    </w:p>
    <w:bookmarkStart w:id="27" w:name="X920b0de90018f9f22f16072f87bf16aa38944c0"/>
    <w:p>
      <w:pPr>
        <w:pStyle w:val="Heading3"/>
      </w:pPr>
      <w:r>
        <w:t xml:space="preserve">2.1Ventas mensuales x producto hasta fecha de análisis</w:t>
      </w:r>
    </w:p>
    <w:bookmarkEnd w:id="27"/>
    <w:bookmarkStart w:id="31" w:name="análisis-por-producto"/>
    <w:p>
      <w:pPr>
        <w:pStyle w:val="Heading3"/>
      </w:pPr>
      <w:r>
        <w:t xml:space="preserve">2.2 Análisis por Producto</w:t>
      </w:r>
    </w:p>
    <w:bookmarkStart w:id="28" w:name="análisis-acumulado-anual-por-producto"/>
    <w:p>
      <w:pPr>
        <w:pStyle w:val="Heading4"/>
      </w:pPr>
      <w:r>
        <w:t xml:space="preserve">2.2.1 -Análisis acumulado anual por Producto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961"/>
        <w:gridCol w:w="3395"/>
      </w:tblGrid>
      <w:tr>
        <w:trPr>
          <w:trHeight w:val="59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Total_Ventas_Producto_Anual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64,931.19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69,024.28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63,690.11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55,456.27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62,274.36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82,024.52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72,258.47</w:t>
            </w:r>
          </w:p>
        </w:tc>
      </w:tr>
    </w:tbl>
    <w:bookmarkEnd w:id="28"/>
    <w:bookmarkStart w:id="29" w:name="análisis-intermensual-por-producto"/>
    <w:p>
      <w:pPr>
        <w:pStyle w:val="Heading4"/>
      </w:pPr>
      <w:r>
        <w:t xml:space="preserve">2.2.2 -Análisis intermensual por Producto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499"/>
        <w:gridCol w:w="1267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5,229.58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282.05%</w:t>
            </w:r>
          </w:p>
        </w:tc>
      </w:tr>
    </w:tbl>
    <w:bookmarkEnd w:id="29"/>
    <w:bookmarkStart w:id="30" w:name="análisis-interanual-por-producto"/>
    <w:p>
      <w:pPr>
        <w:pStyle w:val="Heading4"/>
      </w:pPr>
      <w:r>
        <w:t xml:space="preserve">2.2.3 -Análisis interanual por Producto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499"/>
        <w:gridCol w:w="1340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9,065.20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Producto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-1,981.51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-21.86%</w:t>
            </w:r>
          </w:p>
        </w:tc>
      </w:tr>
    </w:tbl>
    <w:bookmarkEnd w:id="30"/>
    <w:bookmarkEnd w:id="31"/>
    <w:bookmarkStart w:id="35" w:name="análisis-por-región"/>
    <w:p>
      <w:pPr>
        <w:pStyle w:val="Heading3"/>
      </w:pPr>
      <w:r>
        <w:t xml:space="preserve">2.3 Análisis por Región</w:t>
      </w:r>
    </w:p>
    <w:bookmarkStart w:id="32" w:name="análisis-acumulado-anual-por-región"/>
    <w:p>
      <w:pPr>
        <w:pStyle w:val="Heading4"/>
      </w:pPr>
      <w:r>
        <w:t xml:space="preserve">2.3.1 -Análisis acumulado anual por Región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961"/>
        <w:gridCol w:w="3212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Total_Ventas_Region_Anual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64,931.19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69,024.28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63,690.11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55,456.27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62,274.36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82,024.52</w:t>
            </w:r>
          </w:p>
        </w:tc>
      </w:tr>
      <w:tr>
        <w:trPr>
          <w:trHeight w:val="598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72,258.47</w:t>
            </w:r>
          </w:p>
        </w:tc>
      </w:tr>
    </w:tbl>
    <w:bookmarkEnd w:id="32"/>
    <w:bookmarkStart w:id="33" w:name="análisis-intermensual-por-región"/>
    <w:p>
      <w:pPr>
        <w:pStyle w:val="Heading4"/>
      </w:pPr>
      <w:r>
        <w:t xml:space="preserve">2.3.2 -Análisis intermensual por Región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108"/>
        <w:gridCol w:w="1267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5,229.58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282.05%</w:t>
            </w:r>
          </w:p>
        </w:tc>
      </w:tr>
    </w:tbl>
    <w:bookmarkEnd w:id="33"/>
    <w:bookmarkStart w:id="34" w:name="análisis-interanual-por-región"/>
    <w:p>
      <w:pPr>
        <w:pStyle w:val="Heading4"/>
      </w:pPr>
      <w:r>
        <w:t xml:space="preserve">2.3.3 -Análisis interanual por Región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4"/>
        <w:gridCol w:w="1707"/>
        <w:gridCol w:w="1108"/>
        <w:gridCol w:w="1340"/>
        <w:gridCol w:w="11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Total_Ventas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Dif_abs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Dif_por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9,065.20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2025-04-01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-1,981.51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-21.86%</w:t>
            </w:r>
          </w:p>
        </w:tc>
      </w:tr>
    </w:tbl>
    <w:bookmarkEnd w:id="34"/>
    <w:bookmarkEnd w:id="35"/>
    <w:bookmarkEnd w:id="36"/>
    <w:bookmarkStart w:id="49" w:name="gráficas"/>
    <w:p>
      <w:pPr>
        <w:pStyle w:val="Heading2"/>
      </w:pPr>
      <w:r>
        <w:t xml:space="preserve">3.Gráficas</w:t>
      </w:r>
    </w:p>
    <w:bookmarkStart w:id="40" w:name="Xfa3d6054166ee4c142bb13c2a57593d9141852c"/>
    <w:p>
      <w:pPr>
        <w:pStyle w:val="Heading3"/>
      </w:pPr>
      <w:r>
        <w:t xml:space="preserve">3.1 Tabla Comparación ventas anuales globales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rabajo_Grupal_files/figure-docx/unnamed-chunk-2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483731895e249230122f476ca07fa4814c9d2ac"/>
    <w:p>
      <w:pPr>
        <w:pStyle w:val="Heading3"/>
      </w:pPr>
      <w:r>
        <w:t xml:space="preserve">3.2 Tabla Comparación ventas anuales producto Producto 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rabajo_Grupal_files/figure-docx/unnamed-chunk-3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7c169ed9bfaa7cb91a12b21d577928ed80b7486"/>
    <w:p>
      <w:pPr>
        <w:pStyle w:val="Heading3"/>
      </w:pPr>
      <w:r>
        <w:t xml:space="preserve">3.3 Tabla Comparación ventas anuales por Región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Trabajo_Grupal_files/figure-docx/unnamed-chunk-3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/>
  <cp:keywords/>
  <dcterms:created xsi:type="dcterms:W3CDTF">2025-04-24T03:29:05Z</dcterms:created>
  <dcterms:modified xsi:type="dcterms:W3CDTF">2025-04-24T03:29:05Z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