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b/>
          <w:i w:val="false"/>
          <w:iCs w:val="false"/>
          <w:color w:val="auto"/>
          <w:sz w:val="40"/>
        </w:rPr>
        <w:t>DETAILED PROJECT REPORT (DPR)</w:t>
      </w:r>
    </w:p>
    <w:p>
      <w:pPr>
        <w:pStyle w:val="Normal"/>
        <w:jc w:val="center"/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b/>
          <w:i w:val="false"/>
          <w:iCs w:val="false"/>
          <w:color w:val="auto"/>
          <w:sz w:val="32"/>
        </w:rPr>
        <w:t>KEONJHAR DISTRICT INTEGRATED SKILL DEVELOPMENT,</w:t>
        <w:br/>
        <w:t>EMPLOYMENT &amp; ENTREPRENEURSHIP MISSION</w:t>
      </w:r>
    </w:p>
    <w:p>
      <w:pPr>
        <w:pStyle w:val="Normal"/>
        <w:jc w:val="center"/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b/>
          <w:i w:val="false"/>
          <w:iCs w:val="false"/>
          <w:color w:val="auto"/>
          <w:sz w:val="26"/>
        </w:rPr>
        <w:t>GOVERNMENT + DMF + CSR + INDUSTRY CONVERGENCE PROJECT</w:t>
      </w:r>
    </w:p>
    <w:p>
      <w:pPr>
        <w:pStyle w:val="Normal"/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</w:r>
    </w:p>
    <w:p>
      <w:pPr>
        <w:pStyle w:val="Normal"/>
        <w:jc w:val="center"/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District: Keonjhar (Kendujhar), Odisha</w:t>
        <w:br/>
        <w:t>Project Period: 5 Years</w:t>
        <w:br/>
        <w:t>Draft for Government, DMF, CSR and Industry Consideration</w:t>
      </w:r>
    </w:p>
    <w:p>
      <w:pPr>
        <w:pStyle w:val="Normal"/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</w:r>
      <w:r>
        <w:br w:type="page"/>
      </w:r>
    </w:p>
    <w:p>
      <w:pPr>
        <w:pStyle w:val="Heading1"/>
        <w:spacing w:before="0" w:after="0"/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1. Executive Summary</w:t>
      </w:r>
    </w:p>
    <w:p>
      <w:pPr>
        <w:pStyle w:val="Normal"/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This DPR proposes a five-year, ₹100 crore integrated skill development, employment and entrepreneurship mission for Keonjhar district. The project is designed as a convergence programme rather than a single-scheme proposal, bringing together District Mineral Foundation (DMF), Odisha Government skill-development programmes, CSR, central/state livelihood and apprenticeship programmes, and industry participation.</w:t>
      </w:r>
    </w:p>
    <w:p>
      <w:pPr>
        <w:pStyle w:val="Normal"/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The proposal prioritises mining-affected communities, rural and tribal youth, women, unemployed and under-employed persons, and young people seeking industry-linked careers. It combines modern training infrastructure with mobilisation, counselling, certification, apprenticeship, placement, entrepreneurship and post-placement support.</w:t>
      </w:r>
    </w:p>
    <w:p>
      <w:pPr>
        <w:pStyle w:val="Normal"/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Current official sources support the convergence approach. Keonjhar DMF identifies skill development and livelihood as permissible priority areas and states that convergence of budgetary and extra-budgetary resources is required for effective development. The Odisha CSR portal recognises education and skill development, employment-enhancing vocational skills and livelihood enhancement as CSR categories. Odisha also approved Phase II of the Odisha Skill Development Project (OSDP) in January 2026.</w:t>
      </w:r>
    </w:p>
    <w:p>
      <w:pPr>
        <w:pStyle w:val="Heading1"/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2. Project at a Glance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5040"/>
        <w:gridCol w:w="5040"/>
      </w:tblGrid>
      <w:tr>
        <w:trPr/>
        <w:tc>
          <w:tcPr>
            <w:tcW w:w="5040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Parameter</w:t>
            </w:r>
          </w:p>
        </w:tc>
        <w:tc>
          <w:tcPr>
            <w:tcW w:w="5040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Proposed Details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Project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Keonjhar District Integrated Skill Development, Employment &amp; Entrepreneurship Mission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District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Keonjhar (Kendujhar), Odisha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Project Period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5 years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Total Indicative Outlay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₹</w:t>
            </w: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100 crore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Funding Approach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DMF + Odisha Government + CSR + Central/State schemes + Industry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Primary Beneficiaries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Rural/tribal youth, mining-affected communities, women, unemployed/under-employed persons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Core Outcomes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Training, certification, apprenticeship, placement, self-employment and enterprise creation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Implementation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District-led convergence with competent departments, empanelled training partners and industry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Geographic Approach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District-wide, with priority to mining-affected and underserved blocks</w:t>
            </w:r>
          </w:p>
        </w:tc>
      </w:tr>
    </w:tbl>
    <w:p>
      <w:pPr>
        <w:pStyle w:val="Heading1"/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3. Rationale and Need</w:t>
      </w:r>
    </w:p>
    <w:p>
      <w:pPr>
        <w:pStyle w:val="Normal"/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Keonjhar has a substantial mining and industrial ecosystem as well as rural and tribal communities whose employability and livelihood opportunities can be strengthened through demand-led skilling. The project therefore proposes an integrated model linking local skills to mining services, engineering, manufacturing, construction, logistics, textiles, healthcare, hospitality, digital services and emerging technologies.</w:t>
      </w:r>
    </w:p>
    <w:p>
      <w:pPr>
        <w:pStyle w:val="Normal"/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The Keonjhar DMF website reports six skill-development projects with an allocation of ₹8.19 crore and identifies skill development and livelihood as priority areas. The Odisha DMF rules also expressly cover training, training kits, skill-development centres, incubation centres, self-employment schemes, SHG support and forward/backward linkages under skill development and livelihood generation.</w:t>
      </w:r>
    </w:p>
    <w:p>
      <w:pPr>
        <w:pStyle w:val="Heading1"/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4. Objectives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Create a district-wide, industry-linked skill ecosystem.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Prioritise mining-affected, rural, tribal and economically vulnerable communities.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Upgrade training capacity in advanced manufacturing, automation, electrical, mechanical, construction and digital skills.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Create pathways from mobilisation and training to apprenticeship and employment.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Expand women's participation through dedicated training, enterprise and livelihood support.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Support self-employment, SHGs, micro-enterprises and local value chains.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Use convergence to avoid duplication and maximise public and CSR resources.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Establish measurable monitoring, placement and impact-assessment systems.</w:t>
      </w:r>
    </w:p>
    <w:p>
      <w:pPr>
        <w:pStyle w:val="Heading1"/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5. Proposed Programme Components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Component</w:t>
            </w:r>
          </w:p>
        </w:tc>
        <w:tc>
          <w:tcPr>
            <w:tcW w:w="3360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Amount (₹ Cr)</w:t>
            </w:r>
          </w:p>
        </w:tc>
        <w:tc>
          <w:tcPr>
            <w:tcW w:w="3360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Indicative Activities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District Skill Development Centres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18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Centre upgrades, classrooms, labs, equipment and district training network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Advanced Mining &amp; Industrial Skills Academy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12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Mechanical, electrical, welding, fabrication, maintenance, safety and industrial skills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IT/AI/Digital &amp; Industry 4.0 Centre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8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Automation, PLC/SCADA, CNC, mechatronics, IoT, digital skills and data-support skills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Women Skill &amp; Entrepreneurship Centres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8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Women-focused vocational training, enterprise support and market linkage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Rural/Tribal Skill &amp; Livelihood Centres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10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Block-level training, livelihood skills, local crafts and enterprise support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Textile/Apparel/Garment Skills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7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Garment, tailoring, production, quality and textile-linked skills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Construction/Electrical/Infrastructure Skills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6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Electrician, plumbing, masonry, fabrication, construction equipment and related trades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Healthcare/Hospitality/Service Skills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5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Healthcare support, hospitality, retail, logistics and service-sector skills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Apprenticeship &amp; Industry Placement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7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Industry MoUs, OJT, apprenticeships, placement drives and post-placement support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Entrepreneurship &amp; Startup Incubation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5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Business mentoring, incubation, SHG/FPO linkages and enterprise support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Mobile Skill Training Units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Outreach to remote/underserved communities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Scholarships/Counselling/Mobilisation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Career counselling, mobilisation, assessments and inclusion support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Digital Learning Platform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LMS, digital content, candidate tracking and employer interface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PMU/Monitoring/Impact Assessment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Project management, MIS, audits, third-party evaluation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TOTAL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Heading1"/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6. Indicative Funding &amp; Scheme Convergence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2520"/>
        <w:gridCol w:w="2520"/>
        <w:gridCol w:w="2520"/>
        <w:gridCol w:w="2520"/>
      </w:tblGrid>
      <w:tr>
        <w:trPr/>
        <w:tc>
          <w:tcPr>
            <w:tcW w:w="2520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Funding Source / Scheme</w:t>
            </w:r>
          </w:p>
        </w:tc>
        <w:tc>
          <w:tcPr>
            <w:tcW w:w="2520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Indicative Envelope (₹ Cr)</w:t>
            </w:r>
          </w:p>
        </w:tc>
        <w:tc>
          <w:tcPr>
            <w:tcW w:w="2520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Role in DPR</w:t>
            </w:r>
          </w:p>
        </w:tc>
        <w:tc>
          <w:tcPr>
            <w:tcW w:w="2520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Status / Note</w:t>
            </w:r>
          </w:p>
        </w:tc>
      </w:tr>
      <w:tr>
        <w:trPr/>
        <w:tc>
          <w:tcPr>
            <w:tcW w:w="2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DMF – Keonjhar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30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Mining-affected skill, livelihood, centres, training, enterprise and convergence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To be placed before competent DMF authorities; subject to DMF plan, eligibility and sanction</w:t>
            </w:r>
          </w:p>
        </w:tc>
      </w:tr>
      <w:tr>
        <w:trPr/>
        <w:tc>
          <w:tcPr>
            <w:tcW w:w="2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Odisha Government / OSDP-II convergence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20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State skill infrastructure, advanced skills, institutional convergence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OSDP Phase II approved by Odisha Cabinet in Jan 2026; component eligibility to be confirmed</w:t>
            </w:r>
          </w:p>
        </w:tc>
      </w:tr>
      <w:tr>
        <w:trPr/>
        <w:tc>
          <w:tcPr>
            <w:tcW w:w="2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Corporate CSR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30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Centres, equipment, women/youth programmes, digital, apprenticeship and placement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CSR subject to company board/committee approval and Schedule VII eligibility</w:t>
            </w:r>
          </w:p>
        </w:tc>
      </w:tr>
      <w:tr>
        <w:trPr/>
        <w:tc>
          <w:tcPr>
            <w:tcW w:w="2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Central/State skill &amp; apprenticeship schemes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10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Eligible training, rural skilling and apprenticeship components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Scheme-wise eligibility and current funding ceilings to be validated before sanction</w:t>
            </w:r>
          </w:p>
        </w:tc>
      </w:tr>
      <w:tr>
        <w:trPr/>
        <w:tc>
          <w:tcPr>
            <w:tcW w:w="2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Industry contribution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5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Equipment, trainers, OJT, apprenticeship, curriculum and placement support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Based on MoUs and industry participation</w:t>
            </w:r>
          </w:p>
        </w:tc>
      </w:tr>
      <w:tr>
        <w:trPr/>
        <w:tc>
          <w:tcPr>
            <w:tcW w:w="2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Other convergence / institutional contribution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5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Land, facilities, existing assets and complementary programmes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Subject to department/district arrangements</w:t>
            </w:r>
          </w:p>
        </w:tc>
      </w:tr>
      <w:tr>
        <w:trPr/>
        <w:tc>
          <w:tcPr>
            <w:tcW w:w="2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TOTAL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100</w:t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Indicative financing architecture; not a sanctioned allocation</w:t>
            </w:r>
          </w:p>
        </w:tc>
      </w:tr>
    </w:tbl>
    <w:p>
      <w:pPr>
        <w:pStyle w:val="Heading1"/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7. Immediate Scheme/Convergence Windows</w:t>
      </w:r>
    </w:p>
    <w:p>
      <w:pPr>
        <w:pStyle w:val="Normal"/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b/>
          <w:i w:val="false"/>
          <w:iCs w:val="false"/>
          <w:color w:val="auto"/>
        </w:rPr>
        <w:t xml:space="preserve">DMF Keonjhar: </w:t>
      </w:r>
      <w:r>
        <w:rPr>
          <w:rFonts w:ascii="Times New Roman" w:hAnsi="Times New Roman"/>
          <w:i w:val="false"/>
          <w:iCs w:val="false"/>
          <w:color w:val="auto"/>
        </w:rPr>
        <w:t>The official Keonjhar DMF page identifies skill development and livelihood as priority areas. The Odisha DMF rules include training, training kits, skill-development centres, incubation centres, self-employment, SHGs and forward/backward linkages.</w:t>
      </w:r>
    </w:p>
    <w:p>
      <w:pPr>
        <w:pStyle w:val="Normal"/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b/>
          <w:i w:val="false"/>
          <w:iCs w:val="false"/>
          <w:color w:val="auto"/>
        </w:rPr>
        <w:t xml:space="preserve">OSDP Phase II: </w:t>
      </w:r>
      <w:r>
        <w:rPr>
          <w:rFonts w:ascii="Times New Roman" w:hAnsi="Times New Roman"/>
          <w:i w:val="false"/>
          <w:iCs w:val="false"/>
          <w:color w:val="auto"/>
        </w:rPr>
        <w:t>Odisha Cabinet approved the second phase of the Odisha Skill Development Project in January 2026. The DPR should seek convergence with eligible OSDP-II components.</w:t>
      </w:r>
    </w:p>
    <w:p>
      <w:pPr>
        <w:pStyle w:val="Normal"/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b/>
          <w:i w:val="false"/>
          <w:iCs w:val="false"/>
          <w:color w:val="auto"/>
        </w:rPr>
        <w:t xml:space="preserve">Odisha CSR Portal / Schedule VII: </w:t>
      </w:r>
      <w:r>
        <w:rPr>
          <w:rFonts w:ascii="Times New Roman" w:hAnsi="Times New Roman"/>
          <w:i w:val="false"/>
          <w:iCs w:val="false"/>
          <w:color w:val="auto"/>
        </w:rPr>
        <w:t>Education and Skill Development covers employment-enhancing vocational skills and livelihood enhancement projects. The Odisha CSR portal also allows projects to be listed for corporate consideration.</w:t>
      </w:r>
    </w:p>
    <w:p>
      <w:pPr>
        <w:pStyle w:val="Normal"/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b/>
          <w:i w:val="false"/>
          <w:iCs w:val="false"/>
          <w:color w:val="auto"/>
        </w:rPr>
        <w:t xml:space="preserve">DDU-GKY / ORMAS: </w:t>
      </w:r>
      <w:r>
        <w:rPr>
          <w:rFonts w:ascii="Times New Roman" w:hAnsi="Times New Roman"/>
          <w:i w:val="false"/>
          <w:iCs w:val="false"/>
          <w:color w:val="auto"/>
        </w:rPr>
        <w:t>DDU-GKY is a placement-linked skill development programme implemented in Odisha by ORMAS for rural poor youth. Eligible rural youth components should be routed through the applicable ORMAS/DDU-GKY process.</w:t>
      </w:r>
    </w:p>
    <w:p>
      <w:pPr>
        <w:pStyle w:val="Normal"/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b/>
          <w:i w:val="false"/>
          <w:iCs w:val="false"/>
          <w:color w:val="auto"/>
        </w:rPr>
        <w:t xml:space="preserve">Apprenticeship: </w:t>
      </w:r>
      <w:r>
        <w:rPr>
          <w:rFonts w:ascii="Times New Roman" w:hAnsi="Times New Roman"/>
          <w:i w:val="false"/>
          <w:iCs w:val="false"/>
          <w:color w:val="auto"/>
        </w:rPr>
        <w:t>Industry-linked apprenticeship/OJT should be integrated into training packages wherever eligible, with employer commitments documented through MoUs.</w:t>
      </w:r>
    </w:p>
    <w:p>
      <w:pPr>
        <w:pStyle w:val="Normal"/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b/>
          <w:i w:val="false"/>
          <w:iCs w:val="false"/>
          <w:color w:val="auto"/>
        </w:rPr>
        <w:t xml:space="preserve">Other Skill India / State programmes: </w:t>
      </w:r>
      <w:r>
        <w:rPr>
          <w:rFonts w:ascii="Times New Roman" w:hAnsi="Times New Roman"/>
          <w:i w:val="false"/>
          <w:iCs w:val="false"/>
          <w:color w:val="auto"/>
        </w:rPr>
        <w:t>Eligible courses may be converged with current central/state skilling programmes subject to the applicable guidelines, accreditation, empanelment and funding conditions.</w:t>
      </w:r>
    </w:p>
    <w:p>
      <w:pPr>
        <w:pStyle w:val="Heading1"/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8. Target Beneficiaries &amp; Proposed 5-Year Outputs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5040"/>
        <w:gridCol w:w="5040"/>
      </w:tblGrid>
      <w:tr>
        <w:trPr/>
        <w:tc>
          <w:tcPr>
            <w:tcW w:w="5040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Indicator</w:t>
            </w:r>
          </w:p>
        </w:tc>
        <w:tc>
          <w:tcPr>
            <w:tcW w:w="5040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Proposed Target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Youth trained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50,000+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Employment / apprenticeship opportunities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30,000+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Women beneficiaries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10,000+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Rural/tribal beneficiaries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10,000+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Entrepreneurship / self-employment beneficiaries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5,000+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Industry/Employer MoUs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50+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Training centres / hubs supported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District + block/cluster network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Mobile training units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Multiple units based on access and demand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Impact evaluation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Baseline, annual review and end-line assessment</w:t>
            </w:r>
          </w:p>
        </w:tc>
      </w:tr>
    </w:tbl>
    <w:p>
      <w:pPr>
        <w:pStyle w:val="Normal"/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Targets are planning assumptions for DPR purposes and must be validated through baseline, district skill-gap and market-demand assessments before final sanction.</w:t>
      </w:r>
    </w:p>
    <w:p>
      <w:pPr>
        <w:pStyle w:val="Heading1"/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9. Priority Skill Sectors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Mining services, heavy equipment maintenance and industrial safety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Mechanical, electrical, welding, fabrication and CNC machining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Automation, PLC/SCADA, mechatronics, robotics and Industry 4.0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EV technology, solar/renewable-energy installation and maintenance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Construction, electrical, plumbing and infrastructure trades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Textile, apparel, tailoring, garment production and quality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Healthcare support and allied services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Hospitality, retail, logistics and customer-service occupations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IT, digital services, data-support and entrepreneurship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Food processing, agriculture-linked enterprises, crafts and local livelihoods</w:t>
      </w:r>
    </w:p>
    <w:p>
      <w:pPr>
        <w:pStyle w:val="Heading1"/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10. Implementation Structure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5040"/>
        <w:gridCol w:w="5040"/>
      </w:tblGrid>
      <w:tr>
        <w:trPr/>
        <w:tc>
          <w:tcPr>
            <w:tcW w:w="5040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Level</w:t>
            </w:r>
          </w:p>
        </w:tc>
        <w:tc>
          <w:tcPr>
            <w:tcW w:w="5040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Proposed Responsibility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District Steering Committee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Policy direction, convergence and inter-department coordination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District Administration / Nodal Authority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Project coordination, approvals, monitoring and reporting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DMF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Eligible mining-affected components and financing through approved mechanisms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Skill Development Department / OSDA or competent authority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Technical convergence, standards and eligible state programmes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ORMAS / Rural Development agencies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Eligible rural youth and livelihood components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CSR Council / CSR Portal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Project visibility, corporate engagement and convergence facilitation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Industry Advisory Group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Demand mapping, curriculum, trainers, OJT and placements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PMU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Procurement support, MIS, dashboards, monitoring, documentation and impact evaluation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Training Partners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Mobilisation, training, assessment, certification and placement support</w:t>
            </w:r>
          </w:p>
        </w:tc>
      </w:tr>
    </w:tbl>
    <w:p>
      <w:pPr>
        <w:pStyle w:val="Heading1"/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11. Five-Year Implementation Roadmap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5040"/>
        <w:gridCol w:w="5040"/>
      </w:tblGrid>
      <w:tr>
        <w:trPr/>
        <w:tc>
          <w:tcPr>
            <w:tcW w:w="5040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Year</w:t>
            </w:r>
          </w:p>
        </w:tc>
        <w:tc>
          <w:tcPr>
            <w:tcW w:w="5040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Major Activities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Year 1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Baseline and skill-gap study; DPR approval; institutional setup; site selection; procurement; pilot training; industry MoUs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Year 2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Centre upgrades; advanced labs; large-scale mobilisation; training and apprenticeship rollout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Year 3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Scale-up across blocks; women/rural/tribal programmes; enterprise incubation; employer expansion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Year 4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Advanced skills; stronger placement network; outcome-based funding; mid-term evaluation and course redesign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Year 5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Consolidation; end-line evaluation; sustainability plan; transfer/continuation of successful components</w:t>
            </w:r>
          </w:p>
        </w:tc>
      </w:tr>
    </w:tbl>
    <w:p>
      <w:pPr>
        <w:pStyle w:val="Heading1"/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12. Monitoring, Evaluation &amp; KPIs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Candidate mobilisation and enrolment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Attendance and course completion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Assessment/certification rate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Apprenticeship/OJT conversion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Placement rate and retention at 3/6/12 months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Median/average income improvement where measurable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Women and vulnerable-group participation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Enterprise creation and survival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Employer satisfaction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Cost per trainee and cost per placement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Asset utilisation and training-centre occupancy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Independent annual financial and outcome review</w:t>
      </w:r>
    </w:p>
    <w:p>
      <w:pPr>
        <w:pStyle w:val="Heading1"/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13. Sustainability Strategy</w:t>
      </w:r>
    </w:p>
    <w:p>
      <w:pPr>
        <w:pStyle w:val="Normal"/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After the initial five-year investment, centres should progressively move toward a blended operating model involving government programme convergence, industry-sponsored labs, CSR support, fee-based training where appropriate, apprenticeship-linked employer contributions and enterprise incubation revenue. Public-interest beneficiaries should continue to receive support through eligible government and CSR programmes.</w:t>
      </w:r>
    </w:p>
    <w:p>
      <w:pPr>
        <w:pStyle w:val="Heading1"/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14. Risk Management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5040"/>
        <w:gridCol w:w="5040"/>
      </w:tblGrid>
      <w:tr>
        <w:trPr/>
        <w:tc>
          <w:tcPr>
            <w:tcW w:w="5040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Risk</w:t>
            </w:r>
          </w:p>
        </w:tc>
        <w:tc>
          <w:tcPr>
            <w:tcW w:w="5040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Mitigation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Training not aligned with jobs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Quarterly employer demand review and curriculum revision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Low mobilisation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Panchayat/SHG/community mobilisation and career counselling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Dropouts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Counselling, attendance tracking and beneficiary support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Weak placements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Pre-signed employer MoUs, apprenticeship and placement cells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Duplication of schemes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Single district MIS and scheme-mapping matrix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Under-utilised infrastructure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Multi-shift and multi-programme centre utilisation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Funding delays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Phased implementation and separate financing packages</w:t>
            </w:r>
          </w:p>
        </w:tc>
      </w:tr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Quality variation</w:t>
            </w:r>
          </w:p>
        </w:tc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Accredited/approved partners, standardised SOPs and third-party evaluation</w:t>
            </w:r>
          </w:p>
        </w:tc>
      </w:tr>
    </w:tbl>
    <w:p>
      <w:pPr>
        <w:pStyle w:val="Heading1"/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15. Procurement &amp; Financial Management</w:t>
      </w:r>
    </w:p>
    <w:p>
      <w:pPr>
        <w:pStyle w:val="Normal"/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All expenditure shall follow the procurement, financial, CSR and scheme-specific rules applicable to the funding source. Assets financed through DMF, government or CSR shall be appropriately recorded, tagged and maintained. Component-wise utilisation certificates, physical progress reports, outcome reports and audit documentation shall be maintained.</w:t>
      </w:r>
    </w:p>
    <w:p>
      <w:pPr>
        <w:pStyle w:val="Heading1"/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16. Approval &amp; Financing Roadmap</w:t>
      </w:r>
    </w:p>
    <w:p>
      <w:pPr>
        <w:pStyle w:val="ListNumber"/>
        <w:numPr>
          <w:ilvl w:val="0"/>
          <w:numId w:val="4"/>
        </w:numPr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Conduct district baseline and skill-gap/market-demand assessment.</w:t>
      </w:r>
    </w:p>
    <w:p>
      <w:pPr>
        <w:pStyle w:val="ListNumber"/>
        <w:numPr>
          <w:ilvl w:val="0"/>
          <w:numId w:val="4"/>
        </w:numPr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Map each DPR component to the relevant DMF, state, central, CSR or industry funding rule.</w:t>
      </w:r>
    </w:p>
    <w:p>
      <w:pPr>
        <w:pStyle w:val="ListNumber"/>
        <w:numPr>
          <w:ilvl w:val="0"/>
          <w:numId w:val="4"/>
        </w:numPr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Prepare block-wise beneficiary and infrastructure plan.</w:t>
      </w:r>
    </w:p>
    <w:p>
      <w:pPr>
        <w:pStyle w:val="ListNumber"/>
        <w:numPr>
          <w:ilvl w:val="0"/>
          <w:numId w:val="4"/>
        </w:numPr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Obtain in-principle consideration from the competent district authorities.</w:t>
      </w:r>
    </w:p>
    <w:p>
      <w:pPr>
        <w:pStyle w:val="ListNumber"/>
        <w:numPr>
          <w:ilvl w:val="0"/>
          <w:numId w:val="4"/>
        </w:numPr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Place eligible DMF components before the appropriate DMF governance mechanism.</w:t>
      </w:r>
    </w:p>
    <w:p>
      <w:pPr>
        <w:pStyle w:val="ListNumber"/>
        <w:numPr>
          <w:ilvl w:val="0"/>
          <w:numId w:val="4"/>
        </w:numPr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List suitable projects/components through the Odisha CSR platform for corporate consideration.</w:t>
      </w:r>
    </w:p>
    <w:p>
      <w:pPr>
        <w:pStyle w:val="ListNumber"/>
        <w:numPr>
          <w:ilvl w:val="0"/>
          <w:numId w:val="4"/>
        </w:numPr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Initiate OSDP-II and other state-scheme convergence discussions with the competent department.</w:t>
      </w:r>
    </w:p>
    <w:p>
      <w:pPr>
        <w:pStyle w:val="ListNumber"/>
        <w:numPr>
          <w:ilvl w:val="0"/>
          <w:numId w:val="4"/>
        </w:numPr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Engage ORMAS/other competent agencies for eligible rural and placement-linked components.</w:t>
      </w:r>
    </w:p>
    <w:p>
      <w:pPr>
        <w:pStyle w:val="ListNumber"/>
        <w:numPr>
          <w:ilvl w:val="0"/>
          <w:numId w:val="4"/>
        </w:numPr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Sign industry MoUs covering curriculum, equipment, OJT/apprenticeship and placements.</w:t>
      </w:r>
    </w:p>
    <w:p>
      <w:pPr>
        <w:pStyle w:val="ListNumber"/>
        <w:numPr>
          <w:ilvl w:val="0"/>
          <w:numId w:val="4"/>
        </w:numPr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Release funds and implement in phases subject to sanctions and approved annual action plans.</w:t>
      </w:r>
    </w:p>
    <w:p>
      <w:pPr>
        <w:pStyle w:val="Heading1"/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17. Annexure A – Indicative CSR Package Structure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Package</w:t>
            </w:r>
          </w:p>
        </w:tc>
        <w:tc>
          <w:tcPr>
            <w:tcW w:w="3360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Indicative Value</w:t>
            </w:r>
          </w:p>
        </w:tc>
        <w:tc>
          <w:tcPr>
            <w:tcW w:w="3360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b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Potential CSR Use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Centre of Excellence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₹</w:t>
            </w: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5 Cr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Advanced lab, equipment, trainers and industry-linked courses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Women Skill &amp; Enterprise Hub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₹</w:t>
            </w: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3 Cr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Training, incubation, market linkage and digital support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Rural Mobile Skill Unit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₹</w:t>
            </w: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1 Cr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Remote-area training and mobilisation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Digital Skill Centre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₹</w:t>
            </w: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2 Cr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AI/digital/IT/Industry 4.0 lab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Apprenticeship &amp; Placement Fund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₹</w:t>
            </w: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3 Cr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Employer engagement, OJT and placement support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Scholarship &amp; Inclusion Package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₹</w:t>
            </w: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1 Cr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Vulnerable youth/women support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Enterprise Incubation Package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₹</w:t>
            </w: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2 Cr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ＭＳ 明朝" w:cs="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Times New Roman" w:hAnsi="Times New Roman"/>
                <w:i w:val="false"/>
                <w:iCs w:val="false"/>
                <w:color w:val="auto"/>
                <w:kern w:val="0"/>
                <w:szCs w:val="22"/>
                <w:lang w:val="en-US" w:eastAsia="en-US" w:bidi="ar-SA"/>
              </w:rPr>
              <w:t>Mentoring, tools, market linkage and enterprise support</w:t>
            </w:r>
          </w:p>
        </w:tc>
      </w:tr>
    </w:tbl>
    <w:p>
      <w:pPr>
        <w:pStyle w:val="Heading1"/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18. Annexure B – Key Official Reference Points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Government of Odisha, Chief Minister's Office: Cabinet approval of Phase II of the Odisha Skill Development Project, 10 January 2026.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Government of Odisha, DMF Keonjhar: district DMF priorities, skill development/livelihood and convergence.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Government of Odisha, Odisha DMF Rules 2024: skill development and livelihood generation provisions.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Government of Odisha, CSR Portal: Schedule VII categories and CSR project/convergence platform.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  <w:t>ORMAS / Government of Odisha: DDU-GKY placement-linked skill development programme.</w:t>
      </w:r>
    </w:p>
    <w:p>
      <w:pPr>
        <w:pStyle w:val="Normal"/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i w:val="false"/>
          <w:iCs w:val="false"/>
          <w:color w:val="auto"/>
        </w:rPr>
      </w:r>
    </w:p>
    <w:p>
      <w:pPr>
        <w:pStyle w:val="Normal"/>
        <w:spacing w:before="0" w:after="200"/>
        <w:jc w:val="center"/>
        <w:rPr>
          <w:rFonts w:ascii="Times New Roman" w:hAnsi="Times New Roman"/>
          <w:i w:val="false"/>
          <w:iCs w:val="false"/>
          <w:color w:val="auto"/>
        </w:rPr>
      </w:pPr>
      <w:r>
        <w:rPr>
          <w:rFonts w:ascii="Times New Roman" w:hAnsi="Times New Roman"/>
          <w:b/>
          <w:i w:val="false"/>
          <w:iCs w:val="false"/>
          <w:color w:val="auto"/>
        </w:rPr>
        <w:t>DRAFT FOR DISCUSSION AND CONVERGENCE — NOT A SANCTION ORDER</w:t>
      </w:r>
    </w:p>
    <w:sectPr>
      <w:type w:val="nextPage"/>
      <w:pgSz w:w="12240" w:h="15840"/>
      <w:pgMar w:left="1080" w:right="1080" w:gutter="0" w:header="0" w:top="1008" w:footer="0" w:bottom="10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Arial" w:hAnsi="Arial" w:eastAsia="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LibreOffice/26.2.3.2$MacOSX_AARCH64 LibreOffice_project/70e089b17412e4cb7773e41413306b17a2328c34</Application>
  <AppVersion>15.0000</AppVersion>
  <Pages>7</Pages>
  <Words>1844</Words>
  <Characters>13214</Characters>
  <CharactersWithSpaces>14743</CharactersWithSpaces>
  <Paragraphs>274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2026-09-25T20:02:19Z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