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22641b0b4d48f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7494-2015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BLANCO FLORES MARCELA DEL CARMEN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14460087-8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34857_690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34857_690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2aed5a050e48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34857_6901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34857_6901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597145b94d49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ed17dc0fa7749a0" /><Relationship Type="http://schemas.openxmlformats.org/officeDocument/2006/relationships/image" Target="/media/image.jpg" Id="Rab2aed5a050e4808" /><Relationship Type="http://schemas.openxmlformats.org/officeDocument/2006/relationships/image" Target="/media/image2.jpg" Id="Reb597145b94d4911" /></Relationships>
</file>