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5a9340735ac412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CASANOVA MARTINEZ CRISTHIAN MARCELO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679-2016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autos, se ha decretado el remate del inmueble, cuya resolución se ordenó notificar por cedula, en virtud de lo anterior y atendido que el demandado mantiene su domicilio en la comuna de ______________________, vengo en solicitar a US. se sirva despachar exhorto al señor Juez de turno en lo civil de _____________________ , a fin que disponga la notificación por cedula de la resolución en la cual se decreta el remate,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52016_032706_0707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52016_032706_0707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2b845891a844db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52016_032706_0707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52016_032706_0707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d51a7e64f3843d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DCFIS0006705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3f2412f16c44788" /><Relationship Type="http://schemas.openxmlformats.org/officeDocument/2006/relationships/image" Target="/media/image.jpg" Id="R32b845891a844dbe" /><Relationship Type="http://schemas.openxmlformats.org/officeDocument/2006/relationships/image" Target="/media/image2.jpg" Id="R1d51a7e64f3843db" /></Relationships>
</file>