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54a347ad6aa4d94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DESIGNACION DE MARTILLERO; EN EL PRIMER OTROSI: RETIRO DE ESPECIES; EN EL SEGUNDO OTROSI: FUERZA PUBLICA.-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DIAZ ACUÑA ANDRES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22706-2015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Conforme consta del atestado receptorial de autos, se han embargado bienes muebles del deudor y en su presencia, por lo que solicito se disponga la designación de Martillero Público para los efectos de proceder a su realización.-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dicha designación.-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 Sírvase SS. disponer el retiro de las especies embargadas en estos autos, para que sean puestas a disposición del Martillero Público que se designe en estos autos.-</w:t>
      </w:r>
    </w:p>
    <w:p>
      <w:pPr>
        <w:jc w:val="both"/>
        <w:jc w:val="both"/>
      </w:pPr>
      <w:r>
        <w:rPr>
          <w:b/>
        </w:rPr>
        <w:t xml:space="preserve">SEGUNDO OTROSI:</w:t>
      </w:r>
      <w:r>
        <w:t xml:space="preserve"> Sírvase SS. conceder el auxilio de la Fuerza Pública al señor Ministro de Fe, en la diligencia de retiro de especies y en caso de oposición, con facultades de allanamiento y descerrajamiento si fuere necesario, para lo cual solicito se oficio a la Comisaría de Carabineros de Chile respectiva.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1012016_054919_17372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1012016_054919_17372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419a58610b241f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1012016_054919_17372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1012016_054919_17372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52a1d617e8c41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TIJUI0015269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9d49bdd4fd74771" /><Relationship Type="http://schemas.openxmlformats.org/officeDocument/2006/relationships/image" Target="/media/image.jpg" Id="R4419a58610b241f0" /><Relationship Type="http://schemas.openxmlformats.org/officeDocument/2006/relationships/image" Target="/media/image2.jpg" Id="R252a1d617e8c4133" /></Relationships>
</file>