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a5df1777bfc4ef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EN LO PRINCIPAL:</w:t>
      </w:r>
      <w:r>
        <w:t xml:space="preserve"> SE DA POR NOTIFICADO EXPRESAMENTE DE LA SENTENCIA; </w:t>
      </w:r>
      <w:r>
        <w:rPr>
          <w:b/>
        </w:rPr>
        <w:t xml:space="preserve">PRIMER OTROSÍ: </w:t>
      </w:r>
      <w:r>
        <w:t xml:space="preserve">SE CERTIFIQUE EJECUTORIA.-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GONZALEZ RICARDO NICOLAS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darme por expresamente notificado de la sentencia de autos y declaro que he tomado conocimiento de la misma para todos los efectos legales.-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, tenerme por notificado de la sentencia de autos.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OTROSÍ:</w:t>
      </w:r>
      <w:r>
        <w:t xml:space="preserve"> Que vengo en solicitar a US. se sirva ordenar se certifique por el Sr. Secretario del Tribunal, como es efectivo que la sentencia de extravío de título a fojas 59, se encuentra ejecutoriada.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55605_703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55605_703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2b51cf973642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55605_70399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55605_70399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56e8ce926d4f7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DCFIS0002412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98269973cf4630" /><Relationship Type="http://schemas.openxmlformats.org/officeDocument/2006/relationships/image" Target="/media/image.jpg" Id="R042b51cf973642cc" /><Relationship Type="http://schemas.openxmlformats.org/officeDocument/2006/relationships/image" Target="/media/image2.jpg" Id="R1456e8ce926d4f7e" /></Relationships>
</file>