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57d3a5bf8ca493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DESIGNACION DE MARTILLERO; EN EL PRIMER OTROSI: RETIRO DE ESPECIES; EN EL SEGUNDO OTROSI: FUERZA PUBLICA.-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ADONIS MIRANDA DENISSE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6649-2015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Conforme consta del atestado receptorial de autos, se han embargado bienes muebles del deudor y en su presencia, por lo que solicito se disponga la designación de Martillero Público para los efectos de proceder a su realización.-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dicha designación.-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disponer el retiro de las especies embargadas en estos autos, para que sean puestas a disposición del Martillero Público que se designe en estos autos.-</w:t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Sírvase SS. conceder el auxilio de la Fuerza Pública al señor Ministro de Fe, en la diligencia de retiro de especies y en caso de oposición, con facultades de allanamiento y descerrajamiento si fuere necesario, para lo cual solicito se oficio a la Comisaría de Carabineros de Chile respectiva.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052016_121121_78279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052016_121121_78279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7b14e4770a547c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052016_121121_78279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052016_121121_78279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10784fceccb40d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TIJUI0012106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855a3568ad4423b" /><Relationship Type="http://schemas.openxmlformats.org/officeDocument/2006/relationships/image" Target="/media/image.jpg" Id="R87b14e4770a547c4" /><Relationship Type="http://schemas.openxmlformats.org/officeDocument/2006/relationships/image" Target="/media/image2.jpg" Id="Re10784fceccb40d2" /></Relationships>
</file>