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2009d98acd416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3º JUZGADO CIVIL DE VALPARAISO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  MINERA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230-2016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31720_5995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31720_5995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8d81c9286d48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31720_5995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31720_5995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b81c8b82494a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c1f2f47d2f4da3" /><Relationship Type="http://schemas.openxmlformats.org/officeDocument/2006/relationships/image" Target="/media/image.jpg" Id="Re98d81c9286d48dc" /><Relationship Type="http://schemas.openxmlformats.org/officeDocument/2006/relationships/image" Target="/media/image2.jpg" Id="R70b81c8b82494ac5" /></Relationships>
</file>