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c3e38d5ce0471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DESIGNACION DE MARTILLERO; EN EL PRIMER OTROSI: RETIRO DE ESPECIES; EN EL SEGUNDO OTROSI: FUERZA PUBLICA.-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TAMAYO ARAVENA CARLOS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10788-2014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Conforme consta del atestado receptorial de autos, se han embargado bienes muebles del deudor y en su presencia, por lo que solicito se disponga la designación de Martillero Público para los efectos de proceder a su realización.-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dicha designación.-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disponer el retiro de las especies embargadas en estos autos, para que sean puestas a disposición del Martillero Público que se designe en estos autos.-</w:t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conceder el auxilio de la Fuerza Pública al señor Ministro de Fe, en la diligencia de retiro de especies y en caso de oposición, con facultades de allanamiento y descerrajamiento si fuere necesario, para lo cual solicito se oficio a la Comisaría de Carabineros de Chile respectiva.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21449_799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21449_799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7c068b3c2d4a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21449_7995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21449_7995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fc9ca953ca4b2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da47aa32de14e47" /><Relationship Type="http://schemas.openxmlformats.org/officeDocument/2006/relationships/image" Target="/media/image.jpg" Id="R217c068b3c2d4afa" /><Relationship Type="http://schemas.openxmlformats.org/officeDocument/2006/relationships/image" Target="/media/image2.jpg" Id="R2ffc9ca953ca4b2d" /></Relationships>
</file>