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关于rasa 中的源代码的一些心得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NLU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这部分类似管道的概念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2682875"/>
            <wp:effectExtent l="0" t="0" r="5080" b="3175"/>
            <wp:docPr id="1" name="图片 1" descr="16112103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12103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将context一步一步经过多个component部分，然后再将结果拿去train。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整个component的配置在于config.yml中，这其中又包括了分词，特征提取信息，分类以及实体识别。这部分类似做一个特征工程，提取出输入的</w:t>
      </w:r>
      <w:r>
        <w:rPr>
          <w:rFonts w:hint="eastAsia" w:ascii="AAAAAG+Calibri" w:hAnsi="AAAAAG+Calibri" w:eastAsia="AAAAAG+Calibri"/>
          <w:color w:val="000000"/>
          <w:sz w:val="28"/>
          <w:szCs w:val="28"/>
        </w:rPr>
        <w:t xml:space="preserve">Slot/Entity </w:t>
      </w:r>
      <w:r>
        <w:rPr>
          <w:rFonts w:hint="eastAsia"/>
          <w:sz w:val="28"/>
          <w:szCs w:val="28"/>
          <w:lang w:val="en-US" w:eastAsia="zh-CN"/>
        </w:rPr>
        <w:t>跟intent。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分词部分包括whitespaceTokenizer、JiebaTokenizer、mitieTokenizer、spacyTokenizer等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特征提取信息包括mitieFeatures、spacyFeatures、languageModelFeatures、RegexFeatures、countvectorsFeatures等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分类包括mitieIntentclassifier、scklearnclassifier、keywordIntentclassifier、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DIETclassifier等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实体识别包括spacyEntityExtractor、CRFEntityExtractor、DIETclassifier等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当我们配置完这些时，都应该测试nlu部分，便于我们了解其中采取的策略是否合理有效。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Policies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这部分同样也是需要配置在config.yml中。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TEDPolicy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跟机器学习相关的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RulePolicy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规则相关的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MemoizationPolicy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内存记忆相关的这部分的泛化能力较弱。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这部分是用来定义用户的行为的基础，例如我们用来联系第三方、查询天气、定时等等产生用户行为动作的事件都需要在Action中重写name、run方法。它会返回一个Event事件信息。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Action中包括了储存记忆的tracker，可以针对sloty采取动作，可以对action回应的dispatcher。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Events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Rasa对话都是呈现一系列事件的。Rasa SDK提供了每个Event的类。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知识库Action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当我们需要对答的是一种类似知识信息，一方面我们可以在action中重写，也可以将相应的知识书写成json形式存储进去。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个人总结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整节课来说理论过多，我们需要实践来掌握这些信息，同时也希望老师们能提供一些丰富例子供我们理解理论。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AAAAH+Charter-Roman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AAAAAG+Calibri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G+Calib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AAAAC+Times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G+Monaco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0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2021-01-21T06:59:50Z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